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F79E3" w14:textId="34843C6C" w:rsidR="00FD4411" w:rsidRPr="002F3B3A" w:rsidRDefault="00247667" w:rsidP="002F3B3A">
      <w:pPr>
        <w:pStyle w:val="Heading1"/>
        <w:spacing w:before="0" w:line="240" w:lineRule="auto"/>
        <w:ind w:left="0"/>
        <w:rPr>
          <w:sz w:val="22"/>
          <w:szCs w:val="22"/>
        </w:rPr>
      </w:pPr>
      <w:r w:rsidRPr="002F3B3A">
        <w:rPr>
          <w:color w:val="337AB7"/>
          <w:sz w:val="22"/>
          <w:szCs w:val="22"/>
        </w:rPr>
        <w:t>Significance of mineral elements characterization for anaerobic digestion substrates: The case of avocado oil processing by-products</w:t>
      </w:r>
    </w:p>
    <w:p w14:paraId="3C38C9CB" w14:textId="61E96F0C" w:rsidR="00FD4411" w:rsidRDefault="00247667" w:rsidP="00247667">
      <w:pPr>
        <w:pStyle w:val="BodyText"/>
        <w:tabs>
          <w:tab w:val="left" w:pos="4950"/>
        </w:tabs>
        <w:spacing w:before="73"/>
        <w:ind w:left="100" w:right="5987"/>
        <w:rPr>
          <w:rFonts w:ascii="Arial"/>
        </w:rPr>
      </w:pPr>
      <w:proofErr w:type="gramStart"/>
      <w:r w:rsidRPr="00247667">
        <w:rPr>
          <w:rFonts w:ascii="Arial"/>
        </w:rPr>
        <w:t>Charles Rashama*</w:t>
      </w:r>
      <w:r w:rsidR="00FD4411">
        <w:rPr>
          <w:rFonts w:ascii="Arial"/>
        </w:rPr>
        <w:t xml:space="preserve">, </w:t>
      </w:r>
      <w:r>
        <w:rPr>
          <w:rFonts w:ascii="Arial"/>
        </w:rPr>
        <w:t>MSc</w:t>
      </w:r>
      <w:r w:rsidR="00FD4411">
        <w:rPr>
          <w:rFonts w:ascii="Arial"/>
        </w:rPr>
        <w:t xml:space="preserve">, </w:t>
      </w:r>
      <w:r>
        <w:rPr>
          <w:rFonts w:ascii="Arial"/>
        </w:rPr>
        <w:t>IDEAS,</w:t>
      </w:r>
      <w:r w:rsidR="007225F7">
        <w:rPr>
          <w:rFonts w:ascii="Arial"/>
        </w:rPr>
        <w:t xml:space="preserve"> </w:t>
      </w:r>
      <w:r>
        <w:rPr>
          <w:rFonts w:ascii="Arial"/>
        </w:rPr>
        <w:t>University of South (UNISA), CSET.</w:t>
      </w:r>
      <w:proofErr w:type="gramEnd"/>
    </w:p>
    <w:p w14:paraId="3BDFE9CC" w14:textId="3CFAA6EB" w:rsidR="00247667" w:rsidRDefault="00247667" w:rsidP="00247667">
      <w:pPr>
        <w:pStyle w:val="BodyText"/>
        <w:tabs>
          <w:tab w:val="left" w:pos="4950"/>
        </w:tabs>
        <w:spacing w:before="73"/>
        <w:ind w:left="100" w:right="5987"/>
        <w:rPr>
          <w:rFonts w:ascii="Arial"/>
        </w:rPr>
      </w:pPr>
      <w:r>
        <w:rPr>
          <w:rFonts w:ascii="Arial"/>
        </w:rPr>
        <w:t xml:space="preserve">Grace </w:t>
      </w:r>
      <w:proofErr w:type="spellStart"/>
      <w:r>
        <w:rPr>
          <w:rFonts w:ascii="Arial"/>
        </w:rPr>
        <w:t>Ijoma</w:t>
      </w:r>
      <w:proofErr w:type="spellEnd"/>
      <w:r>
        <w:rPr>
          <w:rFonts w:ascii="Arial"/>
        </w:rPr>
        <w:t>, PhD, IDEAS, UNISA, CSET</w:t>
      </w:r>
    </w:p>
    <w:p w14:paraId="63C4DF4C" w14:textId="08C012AE" w:rsidR="00247667" w:rsidRDefault="00247667" w:rsidP="00247667">
      <w:pPr>
        <w:pStyle w:val="BodyText"/>
        <w:tabs>
          <w:tab w:val="left" w:pos="4950"/>
        </w:tabs>
        <w:spacing w:before="73"/>
        <w:ind w:left="100" w:right="5987"/>
        <w:rPr>
          <w:rFonts w:ascii="Arial"/>
        </w:rPr>
      </w:pPr>
      <w:proofErr w:type="spellStart"/>
      <w:r>
        <w:rPr>
          <w:rFonts w:ascii="Arial"/>
        </w:rPr>
        <w:t>Tonderayi</w:t>
      </w:r>
      <w:proofErr w:type="spellEnd"/>
      <w:r>
        <w:rPr>
          <w:rFonts w:ascii="Arial"/>
        </w:rPr>
        <w:t xml:space="preserve"> </w:t>
      </w:r>
      <w:proofErr w:type="spellStart"/>
      <w:r>
        <w:rPr>
          <w:rFonts w:ascii="Arial"/>
        </w:rPr>
        <w:t>Matambo</w:t>
      </w:r>
      <w:proofErr w:type="spellEnd"/>
      <w:r>
        <w:rPr>
          <w:rFonts w:ascii="Arial"/>
        </w:rPr>
        <w:t>, PhD, IDEAS, UNISA, CSET</w:t>
      </w:r>
    </w:p>
    <w:p w14:paraId="01E4F1DD" w14:textId="77777777" w:rsidR="00247667" w:rsidRDefault="00247667" w:rsidP="00247667">
      <w:pPr>
        <w:pStyle w:val="BodyText"/>
        <w:tabs>
          <w:tab w:val="left" w:pos="4950"/>
        </w:tabs>
        <w:spacing w:before="73"/>
        <w:ind w:left="100" w:right="5987"/>
        <w:rPr>
          <w:rFonts w:ascii="Arial"/>
        </w:rPr>
      </w:pPr>
    </w:p>
    <w:p w14:paraId="471F4F67" w14:textId="77777777" w:rsidR="00247667" w:rsidRDefault="00247667" w:rsidP="00247667">
      <w:pPr>
        <w:pStyle w:val="BodyText"/>
        <w:tabs>
          <w:tab w:val="left" w:pos="4950"/>
        </w:tabs>
        <w:spacing w:before="73"/>
        <w:ind w:left="100" w:right="5987"/>
        <w:rPr>
          <w:rFonts w:ascii="Arial"/>
          <w:sz w:val="21"/>
        </w:rPr>
        <w:sectPr w:rsidR="00247667">
          <w:pgSz w:w="11910" w:h="16840"/>
          <w:pgMar w:top="1740" w:right="600" w:bottom="840" w:left="620" w:header="541" w:footer="642" w:gutter="0"/>
          <w:cols w:space="720"/>
        </w:sectPr>
      </w:pPr>
      <w:bookmarkStart w:id="0" w:name="_GoBack"/>
      <w:bookmarkEnd w:id="0"/>
    </w:p>
    <w:p w14:paraId="69A24BEE" w14:textId="185D4719" w:rsidR="00FD4411" w:rsidRDefault="00FD4411" w:rsidP="00FD4411">
      <w:pPr>
        <w:pStyle w:val="Heading3"/>
        <w:spacing w:before="147"/>
        <w:jc w:val="both"/>
      </w:pPr>
      <w:r>
        <w:rPr>
          <w:color w:val="BF5A14"/>
        </w:rPr>
        <w:lastRenderedPageBreak/>
        <w:t xml:space="preserve">Abstract </w:t>
      </w:r>
    </w:p>
    <w:p w14:paraId="1247EBD7" w14:textId="64D6F9D4" w:rsidR="00FD4411" w:rsidRDefault="00FD4411" w:rsidP="00FD4411">
      <w:pPr>
        <w:pStyle w:val="BodyText"/>
        <w:spacing w:before="90" w:line="278" w:lineRule="auto"/>
        <w:ind w:left="100"/>
        <w:jc w:val="both"/>
      </w:pPr>
      <w:r>
        <w:t xml:space="preserve">Statement of the Problem: </w:t>
      </w:r>
      <w:r w:rsidR="00247667">
        <w:t>Biodegradability effects of varying metal profiles in different anaerobic digestion substrates’ is poorly understood and hence merely included in substrate evaluation experiments</w:t>
      </w:r>
      <w:r>
        <w:t>. Researchers have reported</w:t>
      </w:r>
      <w:r w:rsidR="00B243FA">
        <w:t xml:space="preserve"> that</w:t>
      </w:r>
      <w:r>
        <w:t xml:space="preserve"> </w:t>
      </w:r>
      <w:r w:rsidR="00247667">
        <w:t xml:space="preserve">some metals in substrates can stimulate biological activity which improves </w:t>
      </w:r>
      <w:proofErr w:type="spellStart"/>
      <w:r w:rsidR="00247667">
        <w:t>biomethanation</w:t>
      </w:r>
      <w:proofErr w:type="spellEnd"/>
      <w:r w:rsidR="00247667">
        <w:t xml:space="preserve"> while other metal</w:t>
      </w:r>
      <w:r w:rsidR="00B243FA">
        <w:t>s</w:t>
      </w:r>
      <w:r w:rsidR="00247667">
        <w:t xml:space="preserve"> are</w:t>
      </w:r>
      <w:r w:rsidR="00B243FA">
        <w:t xml:space="preserve"> known to be</w:t>
      </w:r>
      <w:r w:rsidR="00247667">
        <w:t xml:space="preserve"> toxic to methane producing microorganisms</w:t>
      </w:r>
      <w:r>
        <w:t>. However, the</w:t>
      </w:r>
      <w:r w:rsidR="00247667">
        <w:t xml:space="preserve"> metal species and ranges in other substrates are not known. Different </w:t>
      </w:r>
      <w:r w:rsidR="00B243FA">
        <w:t xml:space="preserve">metal concentration </w:t>
      </w:r>
      <w:r w:rsidR="00247667">
        <w:t xml:space="preserve">ranges for </w:t>
      </w:r>
      <w:r w:rsidR="00C7018F">
        <w:t xml:space="preserve">microbial activity enhancement </w:t>
      </w:r>
      <w:r w:rsidR="00247667">
        <w:t xml:space="preserve">or </w:t>
      </w:r>
      <w:r w:rsidR="00C7018F">
        <w:t>in</w:t>
      </w:r>
      <w:r w:rsidR="00247667">
        <w:t>toxic</w:t>
      </w:r>
      <w:r w:rsidR="00C7018F">
        <w:t>atio</w:t>
      </w:r>
      <w:r w:rsidR="007225F7">
        <w:t>n</w:t>
      </w:r>
      <w:r w:rsidR="00247667">
        <w:t xml:space="preserve"> levels </w:t>
      </w:r>
      <w:r w:rsidR="00B243FA">
        <w:t xml:space="preserve">in digesters </w:t>
      </w:r>
      <w:r w:rsidR="00247667">
        <w:t xml:space="preserve">are reported by different Researchers. This motivates for independent investigations </w:t>
      </w:r>
      <w:r w:rsidR="00C7018F">
        <w:t>when one encounters new or potential substrates for biogas production</w:t>
      </w:r>
      <w:r>
        <w:t xml:space="preserve">. Methodology &amp; Theoretical Orientation: </w:t>
      </w:r>
      <w:r w:rsidR="00C7018F" w:rsidRPr="00C7018F">
        <w:t xml:space="preserve">Mineral elements in </w:t>
      </w:r>
      <w:r w:rsidR="00C7018F">
        <w:t>avocado oil processing</w:t>
      </w:r>
      <w:r w:rsidR="00C7018F" w:rsidRPr="00C7018F">
        <w:t xml:space="preserve"> by-products</w:t>
      </w:r>
      <w:r w:rsidR="00B243FA">
        <w:t xml:space="preserve"> (</w:t>
      </w:r>
      <w:r w:rsidR="00C7018F">
        <w:t>potential biogas substrates</w:t>
      </w:r>
      <w:r w:rsidR="00B243FA">
        <w:t>)</w:t>
      </w:r>
      <w:r w:rsidR="00C7018F">
        <w:t xml:space="preserve"> </w:t>
      </w:r>
      <w:r w:rsidR="00C7018F" w:rsidRPr="00C7018F">
        <w:t>were measured using ICP-OES methods.</w:t>
      </w:r>
      <w:r w:rsidR="00C7018F">
        <w:t xml:space="preserve"> The analytical results were compared to literature based findings on microbial toxicity and</w:t>
      </w:r>
      <w:r w:rsidR="00B243FA">
        <w:t>/or</w:t>
      </w:r>
      <w:r w:rsidR="00C7018F">
        <w:t xml:space="preserve"> activation then inferences about these byproducts’ biodegradability </w:t>
      </w:r>
      <w:r w:rsidR="00B243FA">
        <w:t xml:space="preserve">to biogas </w:t>
      </w:r>
      <w:r w:rsidR="00C7018F">
        <w:t>were made</w:t>
      </w:r>
      <w:r>
        <w:t xml:space="preserve">. Findings: </w:t>
      </w:r>
      <w:r w:rsidR="00C7018F">
        <w:t xml:space="preserve">Of the 21 mineral elements identified in avocado oil processing byproducts only </w:t>
      </w:r>
      <w:r w:rsidR="00B243FA">
        <w:t>z</w:t>
      </w:r>
      <w:r w:rsidR="00C7018F">
        <w:t xml:space="preserve">inc is high enough </w:t>
      </w:r>
      <w:r w:rsidR="00B243FA">
        <w:t xml:space="preserve">in concentration </w:t>
      </w:r>
      <w:r w:rsidR="00C7018F">
        <w:t xml:space="preserve">to present potential biodegradation inhibition/toxicity challenges. Six minerals seem to fall within optimal ranges for </w:t>
      </w:r>
      <w:proofErr w:type="spellStart"/>
      <w:r w:rsidR="00C7018F">
        <w:t>biodigestion</w:t>
      </w:r>
      <w:proofErr w:type="spellEnd"/>
      <w:r w:rsidR="00C7018F">
        <w:t xml:space="preserve"> while the rest (</w:t>
      </w:r>
      <w:r w:rsidR="007225F7">
        <w:t xml:space="preserve">14 elements) require supplementation to optimize these substrates’ </w:t>
      </w:r>
      <w:proofErr w:type="spellStart"/>
      <w:r w:rsidR="007225F7">
        <w:t>biodigestion</w:t>
      </w:r>
      <w:proofErr w:type="spellEnd"/>
      <w:r w:rsidR="007225F7">
        <w:t xml:space="preserve"> to biogas. </w:t>
      </w:r>
      <w:r w:rsidR="00B243FA">
        <w:t xml:space="preserve">Besides concentration as measured by ICP-EOS methods, metal bioavailability plays a critical role in determination of effects towards </w:t>
      </w:r>
      <w:proofErr w:type="spellStart"/>
      <w:r w:rsidR="00B243FA">
        <w:t>biogasification</w:t>
      </w:r>
      <w:proofErr w:type="spellEnd"/>
      <w:r w:rsidR="00B243FA">
        <w:t xml:space="preserve">. </w:t>
      </w:r>
      <w:r>
        <w:t xml:space="preserve">Conclusion &amp; Significance: </w:t>
      </w:r>
      <w:r w:rsidR="007225F7">
        <w:t xml:space="preserve">It is always important to evaluate mineral element profiles of new substrates so that optimal digester designs can be done from the onset and avoid expensive reworks. It is recommended that mineral evaluation be incorporated into internationally recognized standard biogas </w:t>
      </w:r>
      <w:proofErr w:type="gramStart"/>
      <w:r w:rsidR="007225F7">
        <w:t xml:space="preserve">substrate  </w:t>
      </w:r>
      <w:r w:rsidR="00B243FA">
        <w:t>evaluation</w:t>
      </w:r>
      <w:proofErr w:type="gramEnd"/>
      <w:r w:rsidR="00B243FA">
        <w:t xml:space="preserve"> </w:t>
      </w:r>
      <w:r w:rsidR="007225F7">
        <w:t xml:space="preserve">protocols as a mandatory requirement and </w:t>
      </w:r>
      <w:r w:rsidR="00B243FA">
        <w:t xml:space="preserve">this should </w:t>
      </w:r>
      <w:r w:rsidR="007225F7">
        <w:t>include metal bioavailability studies</w:t>
      </w:r>
      <w:r>
        <w:t>.</w:t>
      </w:r>
    </w:p>
    <w:p w14:paraId="6C2F4CAD" w14:textId="77777777" w:rsidR="00FD4411" w:rsidRDefault="00FD4411" w:rsidP="00567AEF">
      <w:pPr>
        <w:pStyle w:val="Heading3"/>
        <w:spacing w:before="74"/>
        <w:ind w:hanging="100"/>
      </w:pPr>
      <w:r>
        <w:rPr>
          <w:bCs w:val="0"/>
        </w:rPr>
        <w:br w:type="column"/>
      </w:r>
      <w:r>
        <w:rPr>
          <w:color w:val="BF5A14"/>
        </w:rPr>
        <w:lastRenderedPageBreak/>
        <w:t>Image</w:t>
      </w:r>
    </w:p>
    <w:p w14:paraId="6D9D842D" w14:textId="2A3BF32A" w:rsidR="00FD4411" w:rsidRDefault="00567AEF" w:rsidP="00567AEF">
      <w:pPr>
        <w:pStyle w:val="BodyText"/>
        <w:spacing w:before="2"/>
        <w:ind w:firstLine="360"/>
        <w:rPr>
          <w:rFonts w:ascii="Arial"/>
          <w:b/>
          <w:sz w:val="16"/>
        </w:rPr>
      </w:pPr>
      <w:r>
        <w:rPr>
          <w:rFonts w:ascii="Arial"/>
          <w:b/>
          <w:noProof/>
          <w:sz w:val="16"/>
        </w:rPr>
        <w:drawing>
          <wp:inline distT="0" distB="0" distL="0" distR="0" wp14:anchorId="60D1198A" wp14:editId="33868912">
            <wp:extent cx="2583180" cy="2079966"/>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83180" cy="2079966"/>
                    </a:xfrm>
                    <a:prstGeom prst="rect">
                      <a:avLst/>
                    </a:prstGeom>
                    <a:noFill/>
                  </pic:spPr>
                </pic:pic>
              </a:graphicData>
            </a:graphic>
          </wp:inline>
        </w:drawing>
      </w:r>
    </w:p>
    <w:p w14:paraId="3BB81563" w14:textId="77777777" w:rsidR="002F3B3A" w:rsidRPr="002F3B3A" w:rsidRDefault="00567AEF" w:rsidP="002F3B3A">
      <w:pPr>
        <w:rPr>
          <w:sz w:val="16"/>
          <w:szCs w:val="16"/>
        </w:rPr>
      </w:pPr>
      <w:r w:rsidRPr="002F3B3A">
        <w:rPr>
          <w:sz w:val="16"/>
          <w:szCs w:val="16"/>
        </w:rPr>
        <w:t xml:space="preserve">Figure 1: Mineral elements </w:t>
      </w:r>
      <w:r w:rsidR="002F3B3A" w:rsidRPr="002F3B3A">
        <w:rPr>
          <w:sz w:val="16"/>
          <w:szCs w:val="16"/>
        </w:rPr>
        <w:t>characterization in biogas substrates</w:t>
      </w:r>
    </w:p>
    <w:p w14:paraId="4EE4B1F3" w14:textId="201953F4" w:rsidR="00FD4411" w:rsidRDefault="00FD4411" w:rsidP="002F3B3A">
      <w:pPr>
        <w:rPr>
          <w:rFonts w:ascii="Arial"/>
          <w:b/>
          <w:sz w:val="20"/>
        </w:rPr>
      </w:pPr>
      <w:r>
        <w:rPr>
          <w:rFonts w:ascii="Arial"/>
          <w:b/>
          <w:color w:val="BF5A14"/>
          <w:sz w:val="20"/>
        </w:rPr>
        <w:br/>
        <w:t>Recent Publications</w:t>
      </w:r>
    </w:p>
    <w:p w14:paraId="473F4526" w14:textId="77777777" w:rsidR="00567AEF" w:rsidRPr="00B243FA" w:rsidRDefault="007225F7" w:rsidP="00567AEF">
      <w:pPr>
        <w:pStyle w:val="BodyText"/>
        <w:numPr>
          <w:ilvl w:val="0"/>
          <w:numId w:val="3"/>
        </w:numPr>
        <w:spacing w:before="85" w:line="216" w:lineRule="exact"/>
        <w:ind w:left="383" w:right="138" w:hanging="284"/>
        <w:rPr>
          <w:rFonts w:eastAsia="Calibri" w:cs="Calibri"/>
          <w:szCs w:val="22"/>
        </w:rPr>
      </w:pPr>
      <w:r w:rsidRPr="00B243FA">
        <w:rPr>
          <w:rFonts w:eastAsia="Calibri" w:cs="Calibri"/>
          <w:szCs w:val="22"/>
        </w:rPr>
        <w:t>Rashama</w:t>
      </w:r>
      <w:r w:rsidR="00567AEF" w:rsidRPr="00B243FA">
        <w:rPr>
          <w:rFonts w:eastAsia="Calibri" w:cs="Calibri"/>
          <w:szCs w:val="22"/>
        </w:rPr>
        <w:t xml:space="preserve"> C, </w:t>
      </w:r>
      <w:proofErr w:type="spellStart"/>
      <w:r w:rsidRPr="00B243FA">
        <w:rPr>
          <w:rFonts w:eastAsia="Calibri" w:cs="Calibri"/>
          <w:szCs w:val="22"/>
        </w:rPr>
        <w:t>Ijoma</w:t>
      </w:r>
      <w:proofErr w:type="spellEnd"/>
      <w:r w:rsidR="00567AEF" w:rsidRPr="00B243FA">
        <w:rPr>
          <w:rFonts w:eastAsia="Calibri" w:cs="Calibri"/>
          <w:szCs w:val="22"/>
        </w:rPr>
        <w:t xml:space="preserve"> GN, </w:t>
      </w:r>
      <w:proofErr w:type="spellStart"/>
      <w:r w:rsidRPr="00B243FA">
        <w:rPr>
          <w:rFonts w:eastAsia="Calibri" w:cs="Calibri"/>
          <w:szCs w:val="22"/>
        </w:rPr>
        <w:t>Matambo</w:t>
      </w:r>
      <w:proofErr w:type="spellEnd"/>
      <w:r w:rsidR="00567AEF" w:rsidRPr="00B243FA">
        <w:rPr>
          <w:rFonts w:eastAsia="Calibri" w:cs="Calibri"/>
          <w:szCs w:val="22"/>
        </w:rPr>
        <w:t xml:space="preserve"> TS</w:t>
      </w:r>
      <w:r w:rsidRPr="00B243FA">
        <w:rPr>
          <w:rFonts w:eastAsia="Calibri" w:cs="Calibri"/>
          <w:szCs w:val="22"/>
        </w:rPr>
        <w:t xml:space="preserve"> (2021) </w:t>
      </w:r>
      <w:proofErr w:type="gramStart"/>
      <w:r w:rsidRPr="00B243FA">
        <w:rPr>
          <w:rFonts w:eastAsia="Calibri" w:cs="Calibri"/>
          <w:szCs w:val="22"/>
        </w:rPr>
        <w:t>The</w:t>
      </w:r>
      <w:proofErr w:type="gramEnd"/>
      <w:r w:rsidRPr="00B243FA">
        <w:rPr>
          <w:rFonts w:eastAsia="Calibri" w:cs="Calibri"/>
          <w:szCs w:val="22"/>
        </w:rPr>
        <w:t xml:space="preserve"> effects of phytochemicals on </w:t>
      </w:r>
      <w:proofErr w:type="spellStart"/>
      <w:r w:rsidRPr="00B243FA">
        <w:rPr>
          <w:rFonts w:eastAsia="Calibri" w:cs="Calibri"/>
          <w:szCs w:val="22"/>
        </w:rPr>
        <w:t>methanogenesis</w:t>
      </w:r>
      <w:proofErr w:type="spellEnd"/>
      <w:r w:rsidRPr="00B243FA">
        <w:rPr>
          <w:rFonts w:eastAsia="Calibri" w:cs="Calibri"/>
          <w:szCs w:val="22"/>
        </w:rPr>
        <w:t xml:space="preserve">: insights from ruminant digestion and implications for industrial biogas digesters management, </w:t>
      </w:r>
      <w:proofErr w:type="spellStart"/>
      <w:r w:rsidRPr="00B243FA">
        <w:rPr>
          <w:rFonts w:eastAsia="Calibri" w:cs="Calibri"/>
          <w:szCs w:val="22"/>
        </w:rPr>
        <w:t>Phytochemistry</w:t>
      </w:r>
      <w:proofErr w:type="spellEnd"/>
      <w:r w:rsidRPr="00B243FA">
        <w:rPr>
          <w:rFonts w:eastAsia="Calibri" w:cs="Calibri"/>
          <w:szCs w:val="22"/>
        </w:rPr>
        <w:t xml:space="preserve"> Reviews, </w:t>
      </w:r>
      <w:hyperlink r:id="rId7" w:history="1">
        <w:r w:rsidR="00567AEF" w:rsidRPr="00B243FA">
          <w:rPr>
            <w:rStyle w:val="Hyperlink"/>
            <w:rFonts w:eastAsia="Calibri" w:cs="Calibri"/>
            <w:szCs w:val="22"/>
          </w:rPr>
          <w:t>https://doi.org/10.1007/s11101-021-09744-6</w:t>
        </w:r>
      </w:hyperlink>
      <w:r w:rsidRPr="00B243FA">
        <w:rPr>
          <w:rFonts w:eastAsia="Calibri" w:cs="Calibri"/>
          <w:szCs w:val="22"/>
        </w:rPr>
        <w:t>.</w:t>
      </w:r>
    </w:p>
    <w:p w14:paraId="439DF658" w14:textId="77777777" w:rsidR="00567AEF" w:rsidRPr="00B243FA" w:rsidRDefault="00567AEF" w:rsidP="00567AEF">
      <w:pPr>
        <w:pStyle w:val="BodyText"/>
        <w:numPr>
          <w:ilvl w:val="0"/>
          <w:numId w:val="3"/>
        </w:numPr>
        <w:spacing w:before="85" w:line="216" w:lineRule="exact"/>
        <w:ind w:left="383" w:right="138" w:hanging="284"/>
        <w:rPr>
          <w:rFonts w:eastAsia="Calibri" w:cs="Calibri"/>
          <w:szCs w:val="22"/>
        </w:rPr>
      </w:pPr>
      <w:r w:rsidRPr="00B243FA">
        <w:rPr>
          <w:rFonts w:eastAsia="Calibri" w:cs="Calibri"/>
          <w:szCs w:val="22"/>
        </w:rPr>
        <w:t xml:space="preserve">Rashama C, </w:t>
      </w:r>
      <w:proofErr w:type="spellStart"/>
      <w:r w:rsidRPr="00B243FA">
        <w:rPr>
          <w:rFonts w:eastAsia="Calibri" w:cs="Calibri"/>
          <w:szCs w:val="22"/>
        </w:rPr>
        <w:t>Ijoma</w:t>
      </w:r>
      <w:proofErr w:type="spellEnd"/>
      <w:r w:rsidRPr="00B243FA">
        <w:rPr>
          <w:rFonts w:eastAsia="Calibri" w:cs="Calibri"/>
          <w:szCs w:val="22"/>
        </w:rPr>
        <w:t xml:space="preserve"> GN, </w:t>
      </w:r>
      <w:proofErr w:type="spellStart"/>
      <w:r w:rsidRPr="00B243FA">
        <w:rPr>
          <w:rFonts w:eastAsia="Calibri" w:cs="Calibri"/>
          <w:szCs w:val="22"/>
        </w:rPr>
        <w:t>Matambo</w:t>
      </w:r>
      <w:proofErr w:type="spellEnd"/>
      <w:r w:rsidRPr="00B243FA">
        <w:rPr>
          <w:rFonts w:eastAsia="Calibri" w:cs="Calibri"/>
          <w:szCs w:val="22"/>
        </w:rPr>
        <w:t xml:space="preserve"> TS </w:t>
      </w:r>
      <w:r w:rsidR="007225F7" w:rsidRPr="00B243FA">
        <w:rPr>
          <w:rFonts w:eastAsia="Calibri" w:cs="Calibri"/>
          <w:szCs w:val="22"/>
        </w:rPr>
        <w:t xml:space="preserve">(2020) Determination of theoretical </w:t>
      </w:r>
      <w:proofErr w:type="spellStart"/>
      <w:r w:rsidR="007225F7" w:rsidRPr="00B243FA">
        <w:rPr>
          <w:rFonts w:eastAsia="Calibri" w:cs="Calibri"/>
          <w:szCs w:val="22"/>
        </w:rPr>
        <w:t>biomethane</w:t>
      </w:r>
      <w:proofErr w:type="spellEnd"/>
      <w:r w:rsidR="007225F7" w:rsidRPr="00B243FA">
        <w:rPr>
          <w:rFonts w:eastAsia="Calibri" w:cs="Calibri"/>
          <w:szCs w:val="22"/>
        </w:rPr>
        <w:t xml:space="preserve"> potentials for avocado oil processing byproducts, Journal of Material Cycles and Waste Management, 23:409–415. </w:t>
      </w:r>
    </w:p>
    <w:p w14:paraId="2A09C780" w14:textId="7BA72844" w:rsidR="00567AEF" w:rsidRPr="00B243FA" w:rsidRDefault="00567AEF" w:rsidP="00567AEF">
      <w:pPr>
        <w:pStyle w:val="BodyText"/>
        <w:numPr>
          <w:ilvl w:val="0"/>
          <w:numId w:val="3"/>
        </w:numPr>
        <w:spacing w:before="85" w:line="216" w:lineRule="exact"/>
        <w:ind w:left="383" w:right="138" w:hanging="284"/>
        <w:rPr>
          <w:rFonts w:eastAsia="Calibri" w:cs="Calibri"/>
          <w:szCs w:val="22"/>
        </w:rPr>
      </w:pPr>
      <w:r w:rsidRPr="00B243FA">
        <w:rPr>
          <w:rFonts w:eastAsia="Calibri" w:cs="Calibri"/>
          <w:szCs w:val="22"/>
        </w:rPr>
        <w:t xml:space="preserve">Rashama C, </w:t>
      </w:r>
      <w:proofErr w:type="spellStart"/>
      <w:r w:rsidRPr="00B243FA">
        <w:rPr>
          <w:rFonts w:eastAsia="Calibri" w:cs="Calibri"/>
          <w:szCs w:val="22"/>
        </w:rPr>
        <w:t>Ijoma</w:t>
      </w:r>
      <w:proofErr w:type="spellEnd"/>
      <w:r w:rsidRPr="00B243FA">
        <w:rPr>
          <w:rFonts w:eastAsia="Calibri" w:cs="Calibri"/>
          <w:szCs w:val="22"/>
        </w:rPr>
        <w:t xml:space="preserve"> GN, </w:t>
      </w:r>
      <w:proofErr w:type="spellStart"/>
      <w:proofErr w:type="gramStart"/>
      <w:r w:rsidRPr="00B243FA">
        <w:rPr>
          <w:rFonts w:eastAsia="Calibri" w:cs="Calibri"/>
          <w:szCs w:val="22"/>
        </w:rPr>
        <w:t>Matambo</w:t>
      </w:r>
      <w:proofErr w:type="spellEnd"/>
      <w:proofErr w:type="gramEnd"/>
      <w:r w:rsidRPr="00B243FA">
        <w:rPr>
          <w:rFonts w:eastAsia="Calibri" w:cs="Calibri"/>
          <w:szCs w:val="22"/>
        </w:rPr>
        <w:t xml:space="preserve"> TS </w:t>
      </w:r>
      <w:r w:rsidR="007225F7" w:rsidRPr="00B243FA">
        <w:rPr>
          <w:rFonts w:eastAsia="Calibri" w:cs="Calibri"/>
          <w:szCs w:val="22"/>
        </w:rPr>
        <w:t xml:space="preserve">(2019) Biogas generation from by-products of edible oil processing: a review of opportunities, challenges and strategies: Biomass Conv. </w:t>
      </w:r>
      <w:proofErr w:type="spellStart"/>
      <w:r w:rsidR="007225F7" w:rsidRPr="00B243FA">
        <w:rPr>
          <w:rFonts w:eastAsia="Calibri" w:cs="Calibri"/>
          <w:szCs w:val="22"/>
        </w:rPr>
        <w:t>Bioref</w:t>
      </w:r>
      <w:proofErr w:type="spellEnd"/>
      <w:r w:rsidR="007225F7" w:rsidRPr="00B243FA">
        <w:rPr>
          <w:rFonts w:eastAsia="Calibri" w:cs="Calibri"/>
          <w:szCs w:val="22"/>
        </w:rPr>
        <w:t xml:space="preserve">; </w:t>
      </w:r>
      <w:hyperlink r:id="rId8" w:history="1">
        <w:r w:rsidRPr="00B243FA">
          <w:rPr>
            <w:rStyle w:val="Hyperlink"/>
            <w:rFonts w:eastAsia="Calibri" w:cs="Calibri"/>
            <w:szCs w:val="22"/>
          </w:rPr>
          <w:t>https://doi.org/10.1007/s13399-019-00385-6</w:t>
        </w:r>
      </w:hyperlink>
      <w:r w:rsidR="007225F7" w:rsidRPr="00B243FA">
        <w:rPr>
          <w:rFonts w:eastAsia="Calibri" w:cs="Calibri"/>
          <w:szCs w:val="22"/>
        </w:rPr>
        <w:t>.</w:t>
      </w:r>
    </w:p>
    <w:p w14:paraId="324F28F7" w14:textId="543755E3" w:rsidR="007225F7" w:rsidRPr="00B243FA" w:rsidRDefault="00567AEF" w:rsidP="00567AEF">
      <w:pPr>
        <w:pStyle w:val="BodyText"/>
        <w:numPr>
          <w:ilvl w:val="0"/>
          <w:numId w:val="3"/>
        </w:numPr>
        <w:spacing w:before="85" w:line="216" w:lineRule="exact"/>
        <w:ind w:left="383" w:right="138" w:hanging="284"/>
        <w:rPr>
          <w:rFonts w:eastAsia="Calibri" w:cs="Calibri"/>
          <w:szCs w:val="22"/>
        </w:rPr>
      </w:pPr>
      <w:r w:rsidRPr="00B243FA">
        <w:rPr>
          <w:rFonts w:eastAsia="Calibri" w:cs="Calibri"/>
          <w:szCs w:val="22"/>
        </w:rPr>
        <w:t xml:space="preserve">Rashama C, </w:t>
      </w:r>
      <w:proofErr w:type="spellStart"/>
      <w:r w:rsidRPr="00B243FA">
        <w:rPr>
          <w:rFonts w:eastAsia="Calibri" w:cs="Calibri"/>
          <w:szCs w:val="22"/>
        </w:rPr>
        <w:t>Matambo</w:t>
      </w:r>
      <w:proofErr w:type="spellEnd"/>
      <w:r w:rsidRPr="00B243FA">
        <w:rPr>
          <w:rFonts w:eastAsia="Calibri" w:cs="Calibri"/>
          <w:szCs w:val="22"/>
        </w:rPr>
        <w:t xml:space="preserve"> TS </w:t>
      </w:r>
      <w:r w:rsidR="007225F7" w:rsidRPr="00B243FA">
        <w:rPr>
          <w:rFonts w:eastAsia="Calibri" w:cs="Calibri"/>
          <w:szCs w:val="22"/>
        </w:rPr>
        <w:t xml:space="preserve">(2018) Investigating the </w:t>
      </w:r>
      <w:proofErr w:type="spellStart"/>
      <w:r w:rsidR="007225F7" w:rsidRPr="00B243FA">
        <w:rPr>
          <w:rFonts w:eastAsia="Calibri" w:cs="Calibri"/>
          <w:szCs w:val="22"/>
        </w:rPr>
        <w:t>fermentability</w:t>
      </w:r>
      <w:proofErr w:type="spellEnd"/>
      <w:r w:rsidR="007225F7" w:rsidRPr="00B243FA">
        <w:rPr>
          <w:rFonts w:eastAsia="Calibri" w:cs="Calibri"/>
          <w:szCs w:val="22"/>
        </w:rPr>
        <w:t xml:space="preserve"> of synthetic medium-density fiberboard wastewater to alcohol and effects of </w:t>
      </w:r>
      <w:proofErr w:type="spellStart"/>
      <w:r w:rsidR="007225F7" w:rsidRPr="00B243FA">
        <w:rPr>
          <w:rFonts w:eastAsia="Calibri" w:cs="Calibri"/>
          <w:szCs w:val="22"/>
        </w:rPr>
        <w:t>cofermenting</w:t>
      </w:r>
      <w:proofErr w:type="spellEnd"/>
      <w:r w:rsidR="007225F7" w:rsidRPr="00B243FA">
        <w:rPr>
          <w:rFonts w:eastAsia="Calibri" w:cs="Calibri"/>
          <w:szCs w:val="22"/>
        </w:rPr>
        <w:t xml:space="preserve"> the wastewater with sucrose: Biofuels; https://doi.org/10.1080/17597269.2018.1475712.</w:t>
      </w:r>
    </w:p>
    <w:p w14:paraId="403C49B0" w14:textId="31F1A1E7" w:rsidR="00FD4411" w:rsidRPr="00B243FA" w:rsidRDefault="00FD4411" w:rsidP="00B243FA">
      <w:pPr>
        <w:pStyle w:val="BodyText"/>
        <w:spacing w:line="216" w:lineRule="exact"/>
        <w:ind w:left="383" w:right="138" w:hanging="284"/>
        <w:jc w:val="both"/>
      </w:pPr>
      <w:r w:rsidRPr="00B243FA">
        <w:t xml:space="preserve">5. </w:t>
      </w:r>
      <w:r w:rsidR="00567AEF" w:rsidRPr="00B243FA">
        <w:tab/>
        <w:t xml:space="preserve">Rashama C, </w:t>
      </w:r>
      <w:proofErr w:type="spellStart"/>
      <w:r w:rsidR="00567AEF" w:rsidRPr="00B243FA">
        <w:t>Matambo</w:t>
      </w:r>
      <w:proofErr w:type="spellEnd"/>
      <w:r w:rsidR="00567AEF" w:rsidRPr="00B243FA">
        <w:t xml:space="preserve"> TS (2018 (2016) </w:t>
      </w:r>
      <w:proofErr w:type="spellStart"/>
      <w:r w:rsidR="00567AEF" w:rsidRPr="00B243FA">
        <w:t>Ethanolic</w:t>
      </w:r>
      <w:proofErr w:type="spellEnd"/>
      <w:r w:rsidR="00567AEF" w:rsidRPr="00B243FA">
        <w:t xml:space="preserve"> fermentation kinetics and efficiency using medium density </w:t>
      </w:r>
      <w:proofErr w:type="spellStart"/>
      <w:r w:rsidR="00567AEF" w:rsidRPr="00B243FA">
        <w:t>fibreboard</w:t>
      </w:r>
      <w:proofErr w:type="spellEnd"/>
      <w:r w:rsidR="00567AEF" w:rsidRPr="00B243FA">
        <w:t xml:space="preserve"> wastewater as substrate; Eco-Bio Conference 2016 – Netherlands, Rotterdam. – Poster presentation.</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77777777" w:rsidR="00FD4411" w:rsidRDefault="00FD4411" w:rsidP="00FD4411">
      <w:pPr>
        <w:pStyle w:val="BodyText"/>
        <w:spacing w:line="40" w:lineRule="exact"/>
        <w:ind w:left="2202"/>
        <w:rPr>
          <w:rFonts w:ascii="Calibri"/>
          <w:sz w:val="4"/>
        </w:rPr>
      </w:pPr>
      <w:r>
        <w:rPr>
          <w:noProof/>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47FE81"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44198900" w14:textId="1F7D29AE" w:rsidR="00FD4411" w:rsidRDefault="00FD4411" w:rsidP="00FD4411">
      <w:pPr>
        <w:spacing w:before="92"/>
        <w:ind w:right="4234"/>
        <w:rPr>
          <w:rFonts w:ascii="Arial"/>
        </w:rPr>
      </w:pPr>
      <w:r>
        <w:rPr>
          <w:noProof/>
        </w:rPr>
        <w:t xml:space="preserve">           </w:t>
      </w:r>
      <w:r w:rsidR="007225F7">
        <w:rPr>
          <w:noProof/>
        </w:rPr>
        <w:drawing>
          <wp:inline distT="0" distB="0" distL="0" distR="0" wp14:anchorId="5C1DE40C" wp14:editId="01C28BE3">
            <wp:extent cx="629285" cy="621665"/>
            <wp:effectExtent l="0" t="0" r="0" b="6985"/>
            <wp:docPr id="5" name="Picture 5"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noProof/>
        </w:rPr>
        <w:t xml:space="preserve"> </w:t>
      </w:r>
      <w:r w:rsidR="007225F7">
        <w:rPr>
          <w:noProof/>
        </w:rPr>
        <w:drawing>
          <wp:inline distT="0" distB="0" distL="0" distR="0" wp14:anchorId="1DB819E0" wp14:editId="3AC56816">
            <wp:extent cx="629285" cy="621665"/>
            <wp:effectExtent l="0" t="0" r="0" b="6985"/>
            <wp:docPr id="3" name="Picture 3"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noProof/>
        </w:rPr>
        <w:t xml:space="preserve">  </w:t>
      </w:r>
      <w:r>
        <w:rPr>
          <w:noProof/>
        </w:rPr>
        <w:drawing>
          <wp:inline distT="0" distB="0" distL="0" distR="0" wp14:anchorId="3197CEE4" wp14:editId="27E8C085">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sidR="007225F7">
        <w:rPr>
          <w:noProof/>
        </w:rPr>
        <w:t xml:space="preserve"> </w:t>
      </w:r>
      <w:r>
        <w:rPr>
          <w:rFonts w:ascii="Arial"/>
          <w:color w:val="BF5A14"/>
        </w:rPr>
        <w:t xml:space="preserve">Biography </w:t>
      </w:r>
    </w:p>
    <w:p w14:paraId="22A98C69" w14:textId="25E354EF" w:rsidR="00FD4411" w:rsidRPr="00B243FA" w:rsidRDefault="002F3B3A" w:rsidP="00FD4411">
      <w:pPr>
        <w:spacing w:before="41" w:line="154" w:lineRule="exact"/>
        <w:ind w:left="213" w:right="231"/>
        <w:jc w:val="both"/>
        <w:rPr>
          <w:sz w:val="14"/>
        </w:rPr>
      </w:pPr>
      <w:r w:rsidRPr="00B243FA">
        <w:rPr>
          <w:sz w:val="14"/>
        </w:rPr>
        <w:t xml:space="preserve">Charles Rashama is Renewable Energy Researcher at the Institute for the Development of Energy for African Sustainability based at the University of South Africa. Prof </w:t>
      </w:r>
      <w:proofErr w:type="spellStart"/>
      <w:r w:rsidRPr="00B243FA">
        <w:rPr>
          <w:sz w:val="14"/>
        </w:rPr>
        <w:t>Matambo</w:t>
      </w:r>
      <w:proofErr w:type="spellEnd"/>
      <w:r w:rsidRPr="00B243FA">
        <w:rPr>
          <w:sz w:val="14"/>
        </w:rPr>
        <w:t xml:space="preserve"> and </w:t>
      </w:r>
      <w:proofErr w:type="spellStart"/>
      <w:r w:rsidRPr="00B243FA">
        <w:rPr>
          <w:sz w:val="14"/>
        </w:rPr>
        <w:t>Dr</w:t>
      </w:r>
      <w:proofErr w:type="spellEnd"/>
      <w:r w:rsidRPr="00B243FA">
        <w:rPr>
          <w:sz w:val="14"/>
        </w:rPr>
        <w:t xml:space="preserve"> </w:t>
      </w:r>
      <w:proofErr w:type="spellStart"/>
      <w:r w:rsidRPr="00B243FA">
        <w:rPr>
          <w:sz w:val="14"/>
        </w:rPr>
        <w:t>Ijoma</w:t>
      </w:r>
      <w:proofErr w:type="spellEnd"/>
      <w:r w:rsidRPr="00B243FA">
        <w:rPr>
          <w:sz w:val="14"/>
        </w:rPr>
        <w:t xml:space="preserve"> are also based at the same institute and their researches are focused on</w:t>
      </w:r>
      <w:r w:rsidR="00B243FA" w:rsidRPr="00B243FA">
        <w:rPr>
          <w:sz w:val="14"/>
        </w:rPr>
        <w:t xml:space="preserve"> </w:t>
      </w:r>
      <w:r w:rsidRPr="00B243FA">
        <w:rPr>
          <w:sz w:val="14"/>
        </w:rPr>
        <w:t xml:space="preserve">application of biotechnology to biofuels and environmental bioremediation </w:t>
      </w:r>
      <w:r w:rsidR="00B243FA" w:rsidRPr="00B243FA">
        <w:rPr>
          <w:sz w:val="14"/>
        </w:rPr>
        <w:t xml:space="preserve">strategies </w:t>
      </w:r>
      <w:r w:rsidRPr="00B243FA">
        <w:rPr>
          <w:sz w:val="14"/>
        </w:rPr>
        <w:t>respectively</w:t>
      </w:r>
      <w:r w:rsidR="00FD4411" w:rsidRPr="00B243FA">
        <w:rPr>
          <w:sz w:val="14"/>
        </w:rPr>
        <w:t>.</w:t>
      </w:r>
      <w:r w:rsidRPr="00B243FA">
        <w:rPr>
          <w:sz w:val="14"/>
        </w:rPr>
        <w:t xml:space="preserve"> All the Authors have extensive teaching and industrial experience in their areas of research.</w:t>
      </w:r>
    </w:p>
    <w:p w14:paraId="67421EF8" w14:textId="77777777" w:rsidR="002F3B3A" w:rsidRPr="00B243FA" w:rsidRDefault="002F3B3A" w:rsidP="00FD4411">
      <w:pPr>
        <w:spacing w:before="41" w:line="154" w:lineRule="exact"/>
        <w:ind w:left="213" w:right="231"/>
        <w:jc w:val="both"/>
        <w:rPr>
          <w:sz w:val="14"/>
        </w:rPr>
      </w:pPr>
    </w:p>
    <w:p w14:paraId="335DC821" w14:textId="77777777" w:rsidR="002F3B3A" w:rsidRPr="00B243FA" w:rsidRDefault="002F3B3A" w:rsidP="00FD4411">
      <w:pPr>
        <w:spacing w:before="41" w:line="154" w:lineRule="exact"/>
        <w:ind w:left="213" w:right="231"/>
        <w:jc w:val="both"/>
        <w:rPr>
          <w:sz w:val="14"/>
        </w:rPr>
      </w:pPr>
    </w:p>
    <w:p w14:paraId="5D7C4F97" w14:textId="150627CC" w:rsidR="00FD4411" w:rsidRPr="00B243FA" w:rsidRDefault="00FD4411" w:rsidP="00FD4411">
      <w:pPr>
        <w:spacing w:before="62"/>
        <w:ind w:left="4217" w:right="4235"/>
        <w:jc w:val="center"/>
        <w:rPr>
          <w:sz w:val="14"/>
        </w:rPr>
      </w:pPr>
      <w:r w:rsidRPr="00B243FA">
        <w:rPr>
          <w:sz w:val="14"/>
        </w:rPr>
        <w:t xml:space="preserve">Email: </w:t>
      </w:r>
      <w:hyperlink r:id="rId10" w:history="1">
        <w:r w:rsidR="007225F7" w:rsidRPr="00B243FA">
          <w:rPr>
            <w:rStyle w:val="Hyperlink"/>
            <w:sz w:val="14"/>
          </w:rPr>
          <w:t>c.rashama@gmail.com</w:t>
        </w:r>
      </w:hyperlink>
    </w:p>
    <w:p w14:paraId="434E6309" w14:textId="5F5BE840" w:rsidR="00FD4411" w:rsidRDefault="00FD4411" w:rsidP="002F3B3A">
      <w:pPr>
        <w:pStyle w:val="BodyText"/>
        <w:spacing w:before="2"/>
        <w:rPr>
          <w:rFonts w:ascii="Minion Pro"/>
          <w:sz w:val="24"/>
        </w:rPr>
        <w:sectPr w:rsidR="00FD4411">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CBC690"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313A1F52" w14:textId="77777777" w:rsidR="00FD4411" w:rsidRDefault="00FD4411" w:rsidP="00FD4411">
      <w:pPr>
        <w:pStyle w:val="BodyText"/>
        <w:spacing w:before="3"/>
        <w:rPr>
          <w:rFonts w:ascii="Minion Pro"/>
          <w:sz w:val="26"/>
        </w:rPr>
      </w:pPr>
    </w:p>
    <w:p w14:paraId="1DD05878" w14:textId="77777777"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96906"/>
    <w:multiLevelType w:val="hybridMultilevel"/>
    <w:tmpl w:val="1DC8D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2">
    <w:nsid w:val="566B16F3"/>
    <w:multiLevelType w:val="hybridMultilevel"/>
    <w:tmpl w:val="8794BFB8"/>
    <w:lvl w:ilvl="0" w:tplc="E22AFBCC">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712F2"/>
    <w:rsid w:val="00247667"/>
    <w:rsid w:val="002F3B3A"/>
    <w:rsid w:val="00504F4E"/>
    <w:rsid w:val="00567AEF"/>
    <w:rsid w:val="007225F7"/>
    <w:rsid w:val="00B243FA"/>
    <w:rsid w:val="00B77E33"/>
    <w:rsid w:val="00C7018F"/>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unhideWhenUsed/>
    <w:rsid w:val="00FD4411"/>
    <w:rPr>
      <w:color w:val="0000FF" w:themeColor="hyperlink"/>
      <w:u w:val="single"/>
    </w:rPr>
  </w:style>
  <w:style w:type="paragraph" w:styleId="BodyText">
    <w:name w:val="Body Text"/>
    <w:basedOn w:val="Normal"/>
    <w:link w:val="BodyTextChar"/>
    <w:uiPriority w:val="1"/>
    <w:unhideWhenUsed/>
    <w:qFormat/>
    <w:rsid w:val="00FD4411"/>
    <w:rPr>
      <w:sz w:val="18"/>
      <w:szCs w:val="18"/>
    </w:rPr>
  </w:style>
  <w:style w:type="character" w:customStyle="1" w:styleId="BodyTextChar">
    <w:name w:val="Body Text Char"/>
    <w:basedOn w:val="DefaultParagraphFont"/>
    <w:link w:val="BodyText"/>
    <w:uiPriority w:val="1"/>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unhideWhenUsed/>
    <w:rsid w:val="00FD4411"/>
    <w:rPr>
      <w:color w:val="0000FF" w:themeColor="hyperlink"/>
      <w:u w:val="single"/>
    </w:rPr>
  </w:style>
  <w:style w:type="paragraph" w:styleId="BodyText">
    <w:name w:val="Body Text"/>
    <w:basedOn w:val="Normal"/>
    <w:link w:val="BodyTextChar"/>
    <w:uiPriority w:val="1"/>
    <w:unhideWhenUsed/>
    <w:qFormat/>
    <w:rsid w:val="00FD4411"/>
    <w:rPr>
      <w:sz w:val="18"/>
      <w:szCs w:val="18"/>
    </w:rPr>
  </w:style>
  <w:style w:type="character" w:customStyle="1" w:styleId="BodyTextChar">
    <w:name w:val="Body Text Char"/>
    <w:basedOn w:val="DefaultParagraphFont"/>
    <w:link w:val="BodyText"/>
    <w:uiPriority w:val="1"/>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3399-019-00385-6" TargetMode="External"/><Relationship Id="rId3" Type="http://schemas.microsoft.com/office/2007/relationships/stylesWithEffects" Target="stylesWithEffects.xml"/><Relationship Id="rId7" Type="http://schemas.openxmlformats.org/officeDocument/2006/relationships/hyperlink" Target="https://doi.org/10.1007/s11101-021-09744-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rashama@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Charles Rashama</cp:lastModifiedBy>
  <cp:revision>2</cp:revision>
  <dcterms:created xsi:type="dcterms:W3CDTF">2021-08-14T10:21:00Z</dcterms:created>
  <dcterms:modified xsi:type="dcterms:W3CDTF">2021-08-14T10:21:00Z</dcterms:modified>
</cp:coreProperties>
</file>