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911FD5" w:rsidRDefault="00911FD5" w:rsidP="00911FD5">
      <w:pPr>
        <w:pStyle w:val="Heading1"/>
        <w:rPr>
          <w:color w:val="4F81BD" w:themeColor="accent1"/>
        </w:rPr>
      </w:pPr>
      <w:r w:rsidRPr="00911FD5">
        <w:rPr>
          <w:color w:val="4F81BD" w:themeColor="accent1"/>
        </w:rPr>
        <w:t>The potential of Sprouts and green tea in management of dismal pancreatic cancer</w:t>
      </w:r>
    </w:p>
    <w:p w:rsidR="005973B9" w:rsidRDefault="00911FD5" w:rsidP="002412A9">
      <w:pPr>
        <w:pStyle w:val="BodyText"/>
        <w:spacing w:before="73" w:line="198" w:lineRule="exact"/>
        <w:ind w:left="100" w:right="5470"/>
        <w:rPr>
          <w:rFonts w:ascii="Arial"/>
        </w:rPr>
      </w:pPr>
      <w:r>
        <w:rPr>
          <w:rFonts w:ascii="Arial"/>
        </w:rPr>
        <w:t>Nurakant Neupane, Nova International Diagnostics, Nepal</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9B48CF" w:rsidRDefault="0007409C" w:rsidP="001F2B05">
      <w:pPr>
        <w:autoSpaceDE w:val="0"/>
        <w:autoSpaceDN w:val="0"/>
        <w:adjustRightInd w:val="0"/>
        <w:spacing w:before="90" w:line="281" w:lineRule="auto"/>
        <w:jc w:val="both"/>
        <w:rPr>
          <w:sz w:val="18"/>
          <w:szCs w:val="18"/>
        </w:rPr>
      </w:pPr>
      <w:r w:rsidRPr="0007409C">
        <w:rPr>
          <w:sz w:val="18"/>
          <w:szCs w:val="18"/>
        </w:rPr>
        <w:t>Pancreatic cancer is one of the most lethal malignant tumors, fourth leading cause of cancer death in the world wide with minimal survival rate of five years. Researchers are predicted that pancreatic cancer to be one of the first leading cause of cancer-related death by 2030, second to lung cancer</w:t>
      </w:r>
      <w:r w:rsidRPr="0007409C">
        <w:rPr>
          <w:rFonts w:ascii="TimesNewRomanMTStd" w:hAnsi="TimesNewRomanMTStd" w:cs="TimesNewRomanMTStd"/>
          <w:sz w:val="18"/>
          <w:szCs w:val="18"/>
        </w:rPr>
        <w:t>.</w:t>
      </w:r>
      <w:r w:rsidR="002C3E5C">
        <w:rPr>
          <w:rFonts w:ascii="TimesNewRomanMTStd" w:hAnsi="TimesNewRomanMTStd" w:cs="TimesNewRomanMTStd"/>
          <w:sz w:val="18"/>
          <w:szCs w:val="18"/>
        </w:rPr>
        <w:t xml:space="preserve"> </w:t>
      </w:r>
      <w:r w:rsidRPr="0007409C">
        <w:rPr>
          <w:sz w:val="18"/>
          <w:szCs w:val="18"/>
        </w:rPr>
        <w:t>Main causes of pancreatic cancer are significantly</w:t>
      </w:r>
      <w:r w:rsidR="002C3E5C">
        <w:rPr>
          <w:sz w:val="18"/>
          <w:szCs w:val="18"/>
        </w:rPr>
        <w:t xml:space="preserve"> </w:t>
      </w:r>
      <w:r w:rsidRPr="0007409C">
        <w:rPr>
          <w:sz w:val="18"/>
          <w:szCs w:val="18"/>
        </w:rPr>
        <w:t>un</w:t>
      </w:r>
      <w:bookmarkStart w:id="0" w:name="_GoBack"/>
      <w:bookmarkEnd w:id="0"/>
      <w:r w:rsidRPr="0007409C">
        <w:rPr>
          <w:sz w:val="18"/>
          <w:szCs w:val="18"/>
        </w:rPr>
        <w:t>known, although certain risk factors such as smoking, obesity, genetics, diabetes, diet, inactivity have been identified. Predicament survival rate and prognosis, due to the initial asymptomatic course, fulminant disorder, highly metastasis, and disheartened result of treatment. Even with the targeted therapy, treatment is difficult because of the variety of genetic alteration. Due to the highly enriched of steam cell population in pancreatic cancer, resist the chemotherapeutic drugs, and therefore failed the chemotherapy and uncontrolled perennial growth of tumor cell. This resistance of chemotherapy is associated with the metastasis and generation of cancer stem cells. Therefore</w:t>
      </w:r>
      <w:r w:rsidR="0086149D">
        <w:rPr>
          <w:sz w:val="18"/>
          <w:szCs w:val="18"/>
        </w:rPr>
        <w:t>,</w:t>
      </w:r>
      <w:r w:rsidRPr="0007409C">
        <w:rPr>
          <w:sz w:val="18"/>
          <w:szCs w:val="18"/>
        </w:rPr>
        <w:t xml:space="preserve"> alternate therapy such as green tea and sprouts of cruciferous vegetables such as broccoli, cabage, keli, Brussels are good source of glucosinolatels</w:t>
      </w:r>
      <w:r w:rsidR="001F2B05">
        <w:rPr>
          <w:sz w:val="18"/>
          <w:szCs w:val="18"/>
        </w:rPr>
        <w:t xml:space="preserve"> </w:t>
      </w:r>
      <w:r w:rsidRPr="0007409C">
        <w:rPr>
          <w:sz w:val="18"/>
          <w:szCs w:val="18"/>
        </w:rPr>
        <w:t xml:space="preserve">which is </w:t>
      </w:r>
      <w:r>
        <w:rPr>
          <w:sz w:val="18"/>
          <w:szCs w:val="18"/>
        </w:rPr>
        <w:t xml:space="preserve">highly applicable for </w:t>
      </w:r>
      <w:r w:rsidR="000A2832">
        <w:rPr>
          <w:sz w:val="18"/>
          <w:szCs w:val="18"/>
        </w:rPr>
        <w:t>cancer patie</w:t>
      </w:r>
      <w:r w:rsidRPr="0007409C">
        <w:rPr>
          <w:sz w:val="18"/>
          <w:szCs w:val="18"/>
        </w:rPr>
        <w:t>nts.</w:t>
      </w:r>
      <w:r w:rsidR="000A2832">
        <w:rPr>
          <w:sz w:val="18"/>
          <w:szCs w:val="18"/>
        </w:rPr>
        <w:t xml:space="preserve"> P</w:t>
      </w:r>
      <w:r w:rsidR="009B48CF" w:rsidRPr="001F2B05">
        <w:rPr>
          <w:sz w:val="18"/>
          <w:szCs w:val="18"/>
        </w:rPr>
        <w:t>lenteous</w:t>
      </w:r>
      <w:r w:rsidR="000A2832">
        <w:rPr>
          <w:sz w:val="18"/>
          <w:szCs w:val="18"/>
        </w:rPr>
        <w:t xml:space="preserve"> </w:t>
      </w:r>
      <w:r w:rsidR="009B48CF" w:rsidRPr="001F2B05">
        <w:rPr>
          <w:color w:val="333333"/>
          <w:sz w:val="18"/>
          <w:szCs w:val="18"/>
          <w:shd w:val="clear" w:color="auto" w:fill="FFFFFF"/>
        </w:rPr>
        <w:t>glucosinolates</w:t>
      </w:r>
      <w:r w:rsidR="000A2832">
        <w:rPr>
          <w:color w:val="333333"/>
          <w:sz w:val="18"/>
          <w:szCs w:val="18"/>
          <w:shd w:val="clear" w:color="auto" w:fill="FFFFFF"/>
        </w:rPr>
        <w:t xml:space="preserve"> found in sprouts</w:t>
      </w:r>
      <w:r w:rsidR="009B48CF" w:rsidRPr="001F2B05">
        <w:rPr>
          <w:color w:val="333333"/>
          <w:sz w:val="18"/>
          <w:szCs w:val="18"/>
          <w:shd w:val="clear" w:color="auto" w:fill="FFFFFF"/>
        </w:rPr>
        <w:t xml:space="preserve"> which are converted to the</w:t>
      </w:r>
      <w:r w:rsidR="009B48CF">
        <w:rPr>
          <w:color w:val="333333"/>
          <w:sz w:val="18"/>
          <w:szCs w:val="18"/>
          <w:shd w:val="clear" w:color="auto" w:fill="FFFFFF"/>
        </w:rPr>
        <w:t xml:space="preserve"> </w:t>
      </w:r>
      <w:r w:rsidR="009B48CF" w:rsidRPr="001F2B05">
        <w:rPr>
          <w:sz w:val="18"/>
          <w:szCs w:val="18"/>
        </w:rPr>
        <w:t>sulforaphane</w:t>
      </w:r>
      <w:r w:rsidR="000A2832">
        <w:rPr>
          <w:sz w:val="18"/>
          <w:szCs w:val="18"/>
        </w:rPr>
        <w:t xml:space="preserve"> </w:t>
      </w:r>
      <w:r w:rsidR="009B48CF" w:rsidRPr="001F2B05">
        <w:rPr>
          <w:sz w:val="18"/>
          <w:szCs w:val="18"/>
        </w:rPr>
        <w:t>by th</w:t>
      </w:r>
      <w:r w:rsidR="000A2832">
        <w:rPr>
          <w:sz w:val="18"/>
          <w:szCs w:val="18"/>
        </w:rPr>
        <w:t>e body,</w:t>
      </w:r>
      <w:r w:rsidR="009B48CF" w:rsidRPr="001F2B05">
        <w:rPr>
          <w:sz w:val="18"/>
          <w:szCs w:val="18"/>
        </w:rPr>
        <w:t xml:space="preserve"> has anticancer</w:t>
      </w:r>
      <w:r w:rsidR="009B48CF" w:rsidRPr="0007409C">
        <w:rPr>
          <w:sz w:val="18"/>
          <w:szCs w:val="18"/>
        </w:rPr>
        <w:t xml:space="preserve"> </w:t>
      </w:r>
      <w:r w:rsidR="009B48CF" w:rsidRPr="0007409C">
        <w:rPr>
          <w:sz w:val="18"/>
          <w:szCs w:val="18"/>
        </w:rPr>
        <w:lastRenderedPageBreak/>
        <w:t>properties,</w:t>
      </w:r>
      <w:r w:rsidR="009B48CF">
        <w:rPr>
          <w:sz w:val="18"/>
          <w:szCs w:val="18"/>
        </w:rPr>
        <w:t xml:space="preserve"> </w:t>
      </w:r>
      <w:r w:rsidR="009B48CF" w:rsidRPr="0007409C">
        <w:rPr>
          <w:sz w:val="18"/>
          <w:szCs w:val="18"/>
        </w:rPr>
        <w:t xml:space="preserve">help to </w:t>
      </w:r>
      <w:r w:rsidR="000A2832">
        <w:rPr>
          <w:sz w:val="18"/>
          <w:szCs w:val="18"/>
        </w:rPr>
        <w:t>supress</w:t>
      </w:r>
      <w:r w:rsidR="009B48CF" w:rsidRPr="0007409C">
        <w:rPr>
          <w:sz w:val="18"/>
          <w:szCs w:val="18"/>
        </w:rPr>
        <w:t xml:space="preserve"> the growth of cancer stem cell.</w:t>
      </w:r>
      <w:r w:rsidR="009B48CF">
        <w:rPr>
          <w:sz w:val="18"/>
          <w:szCs w:val="18"/>
        </w:rPr>
        <w:t xml:space="preserve"> Similarly</w:t>
      </w:r>
      <w:r w:rsidR="0086149D">
        <w:rPr>
          <w:sz w:val="18"/>
          <w:szCs w:val="18"/>
        </w:rPr>
        <w:t>,</w:t>
      </w:r>
      <w:r w:rsidR="009B48CF">
        <w:rPr>
          <w:sz w:val="18"/>
          <w:szCs w:val="18"/>
        </w:rPr>
        <w:t xml:space="preserve"> in </w:t>
      </w:r>
      <w:r w:rsidR="009B48CF" w:rsidRPr="001F2B05">
        <w:rPr>
          <w:sz w:val="18"/>
          <w:szCs w:val="18"/>
        </w:rPr>
        <w:t>green tea epigallocatechin-3-gallate (EGCG) and flavano have been found to effectively inhibit the growth and induces of apoptosis in pancreatic</w:t>
      </w:r>
      <w:r w:rsidR="009B48CF">
        <w:rPr>
          <w:sz w:val="18"/>
          <w:szCs w:val="18"/>
        </w:rPr>
        <w:t xml:space="preserve"> cancer.</w:t>
      </w:r>
    </w:p>
    <w:p w:rsidR="009B48CF" w:rsidRDefault="00A9710C" w:rsidP="001F2B05">
      <w:pPr>
        <w:autoSpaceDE w:val="0"/>
        <w:autoSpaceDN w:val="0"/>
        <w:adjustRightInd w:val="0"/>
        <w:spacing w:before="90" w:line="281" w:lineRule="auto"/>
        <w:jc w:val="both"/>
      </w:pPr>
      <w:r w:rsidRPr="001F2B05">
        <w:rPr>
          <w:sz w:val="18"/>
          <w:szCs w:val="18"/>
        </w:rPr>
        <w:t>Conclusion &amp; Significance</w:t>
      </w:r>
      <w:r w:rsidRPr="00A36B14">
        <w:rPr>
          <w:sz w:val="18"/>
          <w:szCs w:val="18"/>
        </w:rPr>
        <w:t>:</w:t>
      </w:r>
      <w:r w:rsidR="00FE38FF" w:rsidRPr="00A36B14">
        <w:rPr>
          <w:sz w:val="18"/>
          <w:szCs w:val="18"/>
        </w:rPr>
        <w:t xml:space="preserve"> The</w:t>
      </w:r>
      <w:r w:rsidR="003E0BAE">
        <w:rPr>
          <w:sz w:val="18"/>
          <w:szCs w:val="18"/>
        </w:rPr>
        <w:t xml:space="preserve"> promising</w:t>
      </w:r>
      <w:r w:rsidR="00FE38FF" w:rsidRPr="00A36B14">
        <w:rPr>
          <w:sz w:val="18"/>
          <w:szCs w:val="18"/>
        </w:rPr>
        <w:t xml:space="preserve"> evidence from the </w:t>
      </w:r>
      <w:r w:rsidR="003E0BAE">
        <w:rPr>
          <w:sz w:val="18"/>
          <w:szCs w:val="18"/>
        </w:rPr>
        <w:t>study</w:t>
      </w:r>
      <w:r w:rsidR="00FE38FF" w:rsidRPr="00A36B14">
        <w:rPr>
          <w:sz w:val="18"/>
          <w:szCs w:val="18"/>
        </w:rPr>
        <w:t xml:space="preserve"> is very </w:t>
      </w:r>
      <w:r w:rsidR="003E0BAE" w:rsidRPr="00A36B14">
        <w:rPr>
          <w:sz w:val="18"/>
          <w:szCs w:val="18"/>
        </w:rPr>
        <w:t>favorable</w:t>
      </w:r>
      <w:r w:rsidR="00FE38FF" w:rsidRPr="00A36B14">
        <w:rPr>
          <w:sz w:val="18"/>
          <w:szCs w:val="18"/>
        </w:rPr>
        <w:t xml:space="preserve"> </w:t>
      </w:r>
      <w:r w:rsidR="00A36B14" w:rsidRPr="00A36B14">
        <w:rPr>
          <w:sz w:val="18"/>
          <w:szCs w:val="18"/>
        </w:rPr>
        <w:t>for the cancer patient and further studies are necessary to understand the crucial role of sprouts and green tea on cancer patients.</w:t>
      </w:r>
      <w:r w:rsidR="00FE38FF">
        <w:t xml:space="preserve"> </w:t>
      </w:r>
    </w:p>
    <w:p w:rsidR="009B48CF" w:rsidRDefault="00A9710C" w:rsidP="001F2B05">
      <w:pPr>
        <w:autoSpaceDE w:val="0"/>
        <w:autoSpaceDN w:val="0"/>
        <w:adjustRightInd w:val="0"/>
        <w:spacing w:before="90" w:line="281" w:lineRule="auto"/>
        <w:jc w:val="both"/>
        <w:rPr>
          <w:rFonts w:ascii="Arial"/>
          <w:b/>
          <w:color w:val="BF5A14"/>
          <w:sz w:val="18"/>
          <w:szCs w:val="18"/>
        </w:rPr>
      </w:pPr>
      <w:r>
        <w:t xml:space="preserve"> </w:t>
      </w:r>
      <w:r w:rsidR="00887FA9" w:rsidRPr="00887FA9">
        <w:rPr>
          <w:b/>
          <w:bCs/>
          <w:sz w:val="18"/>
          <w:szCs w:val="18"/>
        </w:rPr>
        <w:t>Keywords:</w:t>
      </w:r>
      <w:r w:rsidR="00887FA9" w:rsidRPr="00887FA9">
        <w:rPr>
          <w:sz w:val="18"/>
          <w:szCs w:val="18"/>
        </w:rPr>
        <w:t xml:space="preserve"> pancreatic cancer, cancer stem cell, spro</w:t>
      </w:r>
      <w:r w:rsidR="009B48CF">
        <w:rPr>
          <w:sz w:val="18"/>
          <w:szCs w:val="18"/>
        </w:rPr>
        <w:t xml:space="preserve">uts, green tea, glucosinolates, EGCG, </w:t>
      </w:r>
      <w:r w:rsidR="00887FA9" w:rsidRPr="00887FA9">
        <w:rPr>
          <w:sz w:val="18"/>
          <w:szCs w:val="18"/>
        </w:rPr>
        <w:t>flavano</w:t>
      </w:r>
      <w:r w:rsidR="009B48CF">
        <w:rPr>
          <w:sz w:val="18"/>
          <w:szCs w:val="18"/>
        </w:rPr>
        <w:t xml:space="preserve">.     </w:t>
      </w:r>
    </w:p>
    <w:p w:rsidR="005973B9" w:rsidRPr="001F2B05" w:rsidRDefault="005973B9" w:rsidP="001F2B05">
      <w:pPr>
        <w:autoSpaceDE w:val="0"/>
        <w:autoSpaceDN w:val="0"/>
        <w:adjustRightInd w:val="0"/>
        <w:spacing w:before="90" w:line="281" w:lineRule="auto"/>
        <w:jc w:val="both"/>
        <w:rPr>
          <w:sz w:val="18"/>
          <w:szCs w:val="18"/>
        </w:rPr>
      </w:pPr>
      <w:r>
        <w:rPr>
          <w:rFonts w:ascii="Arial"/>
          <w:b/>
          <w:color w:val="BF5A14"/>
          <w:sz w:val="20"/>
        </w:rPr>
        <w:t>Recent Publications (minimum 5)</w:t>
      </w:r>
    </w:p>
    <w:p w:rsidR="004A54B2" w:rsidRPr="004A54B2" w:rsidRDefault="004D7892" w:rsidP="004A54B2">
      <w:pPr>
        <w:tabs>
          <w:tab w:val="left" w:pos="384"/>
        </w:tabs>
        <w:ind w:right="117"/>
        <w:rPr>
          <w:rFonts w:ascii="Calibri" w:eastAsia="Calibri" w:hAnsi="Calibri" w:cs="Calibri"/>
          <w:sz w:val="18"/>
          <w:lang w:val="en-GB"/>
        </w:rPr>
      </w:pPr>
      <w:r>
        <w:rPr>
          <w:rFonts w:ascii="Calibri" w:eastAsia="Calibri" w:hAnsi="Calibri" w:cs="Calibri"/>
          <w:b/>
          <w:bCs/>
          <w:sz w:val="18"/>
          <w:lang w:val="en-GB"/>
        </w:rPr>
        <w:t>N Neupane, B Kumari, J Lakhanpal, A Bhutani and PK</w:t>
      </w:r>
      <w:r w:rsidR="007B1F91">
        <w:rPr>
          <w:rFonts w:ascii="Calibri" w:eastAsia="Calibri" w:hAnsi="Calibri" w:cs="Calibri"/>
          <w:b/>
          <w:bCs/>
          <w:sz w:val="18"/>
          <w:lang w:val="en-GB"/>
        </w:rPr>
        <w:t xml:space="preserve"> Parbhakar</w:t>
      </w:r>
      <w:r w:rsidR="004A54B2" w:rsidRPr="004A54B2">
        <w:rPr>
          <w:rFonts w:ascii="Calibri" w:eastAsia="Calibri" w:hAnsi="Calibri" w:cs="Calibri"/>
          <w:b/>
          <w:bCs/>
          <w:sz w:val="18"/>
          <w:lang w:val="en-GB"/>
        </w:rPr>
        <w:t xml:space="preserve">. </w:t>
      </w:r>
      <w:hyperlink r:id="rId9" w:history="1">
        <w:r w:rsidR="007B1F91" w:rsidRPr="007B1F91">
          <w:rPr>
            <w:rStyle w:val="Hyperlink"/>
            <w:rFonts w:asciiTheme="minorHAnsi" w:hAnsiTheme="minorHAnsi" w:cs="Arial"/>
            <w:color w:val="660099"/>
            <w:sz w:val="18"/>
            <w:szCs w:val="18"/>
            <w:shd w:val="clear" w:color="auto" w:fill="FFFFFF"/>
          </w:rPr>
          <w:t>A Study of Procalcitonin as Biomarker in Sepsis Patients Admitted in Super Speciality Hospital</w:t>
        </w:r>
      </w:hyperlink>
      <w:r w:rsidR="004A54B2" w:rsidRPr="004A54B2">
        <w:rPr>
          <w:rFonts w:ascii="Calibri" w:eastAsia="Calibri" w:hAnsi="Calibri" w:cs="Calibri"/>
          <w:b/>
          <w:bCs/>
          <w:sz w:val="18"/>
          <w:lang w:val="en-GB"/>
        </w:rPr>
        <w:t xml:space="preserve"> </w:t>
      </w:r>
      <w:r w:rsidR="007B1F91" w:rsidRPr="007B1F91">
        <w:rPr>
          <w:rFonts w:asciiTheme="minorHAnsi" w:hAnsiTheme="minorHAnsi"/>
          <w:sz w:val="18"/>
          <w:szCs w:val="18"/>
        </w:rPr>
        <w:t>Asian Journal of Pharmaceutics • Oct-Dec 2018 (Suppl) • 12 (4) | S1408</w:t>
      </w:r>
    </w:p>
    <w:p w:rsidR="004A54B2" w:rsidRPr="004A54B2" w:rsidRDefault="004A54B2" w:rsidP="004A54B2">
      <w:pPr>
        <w:tabs>
          <w:tab w:val="left" w:pos="384"/>
        </w:tabs>
        <w:ind w:right="117"/>
        <w:rPr>
          <w:rFonts w:ascii="Calibri" w:eastAsia="Calibri" w:hAnsi="Calibri" w:cs="Calibri"/>
          <w:sz w:val="18"/>
          <w:lang w:val="en-GB"/>
        </w:rPr>
      </w:pPr>
    </w:p>
    <w:p w:rsidR="004A54B2" w:rsidRPr="004D7892" w:rsidRDefault="004D7892" w:rsidP="004D7892">
      <w:pPr>
        <w:pStyle w:val="Heading3"/>
        <w:shd w:val="clear" w:color="auto" w:fill="FFFFFF"/>
        <w:spacing w:after="30" w:line="285" w:lineRule="atLeast"/>
        <w:ind w:right="118"/>
        <w:rPr>
          <w:rFonts w:asciiTheme="minorHAnsi" w:hAnsiTheme="minorHAnsi"/>
          <w:b w:val="0"/>
          <w:bCs w:val="0"/>
          <w:color w:val="222222"/>
          <w:sz w:val="18"/>
          <w:szCs w:val="18"/>
        </w:rPr>
      </w:pPr>
      <w:r>
        <w:rPr>
          <w:rFonts w:ascii="Calibri" w:eastAsia="Calibri" w:hAnsi="Calibri" w:cs="Calibri"/>
          <w:bCs w:val="0"/>
          <w:sz w:val="18"/>
          <w:lang w:val="en-GB"/>
        </w:rPr>
        <w:t>N</w:t>
      </w:r>
      <w:r w:rsidR="007B1F91" w:rsidRPr="004D7892">
        <w:rPr>
          <w:rFonts w:ascii="Calibri" w:eastAsia="Calibri" w:hAnsi="Calibri" w:cs="Calibri"/>
          <w:bCs w:val="0"/>
          <w:sz w:val="18"/>
          <w:lang w:val="en-GB"/>
        </w:rPr>
        <w:t xml:space="preserve"> Neupane, </w:t>
      </w:r>
      <w:r>
        <w:rPr>
          <w:rFonts w:ascii="Calibri" w:eastAsia="Calibri" w:hAnsi="Calibri" w:cs="Calibri"/>
          <w:bCs w:val="0"/>
          <w:sz w:val="18"/>
          <w:lang w:val="en-GB"/>
        </w:rPr>
        <w:t>M Kaur and PK</w:t>
      </w:r>
      <w:r w:rsidRPr="004D7892">
        <w:rPr>
          <w:rFonts w:ascii="Calibri" w:eastAsia="Calibri" w:hAnsi="Calibri" w:cs="Calibri"/>
          <w:bCs w:val="0"/>
          <w:sz w:val="18"/>
          <w:lang w:val="en-GB"/>
        </w:rPr>
        <w:t xml:space="preserve"> Parbhakar</w:t>
      </w:r>
      <w:r w:rsidR="004A54B2" w:rsidRPr="004A54B2">
        <w:rPr>
          <w:rFonts w:ascii="Calibri" w:eastAsia="Calibri" w:hAnsi="Calibri" w:cs="Calibri"/>
          <w:sz w:val="18"/>
          <w:lang w:val="en-GB"/>
        </w:rPr>
        <w:t xml:space="preserve">. </w:t>
      </w:r>
      <w:hyperlink r:id="rId10" w:history="1">
        <w:r w:rsidRPr="004D7892">
          <w:rPr>
            <w:rStyle w:val="Hyperlink"/>
            <w:rFonts w:asciiTheme="minorHAnsi" w:hAnsiTheme="minorHAnsi"/>
            <w:b w:val="0"/>
            <w:bCs w:val="0"/>
            <w:color w:val="660099"/>
            <w:sz w:val="18"/>
            <w:szCs w:val="18"/>
          </w:rPr>
          <w:t>Treatment of Hashimoto's thyroiditis with herbal medication</w:t>
        </w:r>
      </w:hyperlink>
      <w:r w:rsidR="004A54B2" w:rsidRPr="004D7892">
        <w:rPr>
          <w:rFonts w:asciiTheme="minorHAnsi" w:eastAsia="Calibri" w:hAnsiTheme="minorHAnsi" w:cs="Calibri"/>
          <w:b w:val="0"/>
          <w:sz w:val="18"/>
          <w:szCs w:val="18"/>
          <w:lang w:val="en-GB"/>
        </w:rPr>
        <w:t xml:space="preserve">. </w:t>
      </w:r>
      <w:r w:rsidRPr="004D7892">
        <w:rPr>
          <w:rFonts w:asciiTheme="minorHAnsi" w:hAnsiTheme="minorHAnsi"/>
          <w:b w:val="0"/>
          <w:sz w:val="18"/>
          <w:szCs w:val="18"/>
        </w:rPr>
        <w:t>International Journal of Green Pharmacy • Jul-Sep 2017 (Suppl) • 11 (3) | S343</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7D5C62">
      <w:pPr>
        <w:pStyle w:val="BodyText"/>
        <w:spacing w:line="40" w:lineRule="exact"/>
        <w:ind w:left="2202"/>
        <w:rPr>
          <w:rFonts w:ascii="Calibri"/>
          <w:sz w:val="4"/>
        </w:rPr>
      </w:pPr>
      <w:r w:rsidRPr="007D5C62">
        <w:pict>
          <v:group id="Group 4" o:spid="_x0000_s1027"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8"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697164">
        <w:rPr>
          <w:noProof/>
        </w:rPr>
        <w:drawing>
          <wp:inline distT="0" distB="0" distL="0" distR="0">
            <wp:extent cx="561975" cy="746504"/>
            <wp:effectExtent l="19050" t="0" r="9525" b="0"/>
            <wp:docPr id="4" name="Picture 2" descr="E:\New folder\New folde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ew folder\New folder\photo.jpg"/>
                    <pic:cNvPicPr>
                      <a:picLocks noChangeAspect="1" noChangeArrowheads="1"/>
                    </pic:cNvPicPr>
                  </pic:nvPicPr>
                  <pic:blipFill>
                    <a:blip r:embed="rId11" cstate="print"/>
                    <a:srcRect/>
                    <a:stretch>
                      <a:fillRect/>
                    </a:stretch>
                  </pic:blipFill>
                  <pic:spPr bwMode="auto">
                    <a:xfrm>
                      <a:off x="0" y="0"/>
                      <a:ext cx="565361" cy="751002"/>
                    </a:xfrm>
                    <a:prstGeom prst="rect">
                      <a:avLst/>
                    </a:prstGeom>
                    <a:noFill/>
                    <a:ln w="9525">
                      <a:noFill/>
                      <a:miter lim="800000"/>
                      <a:headEnd/>
                      <a:tailEnd/>
                    </a:ln>
                  </pic:spPr>
                </pic:pic>
              </a:graphicData>
            </a:graphic>
          </wp:inline>
        </w:drawing>
      </w:r>
      <w:r w:rsidR="00697164">
        <w:rPr>
          <w:noProof/>
        </w:rPr>
        <w:t xml:space="preserve"> </w:t>
      </w:r>
      <w:r w:rsidR="00A9710C">
        <w:rPr>
          <w:rFonts w:ascii="Arial"/>
          <w:color w:val="BF5A14"/>
        </w:rPr>
        <w:t>Biography</w:t>
      </w:r>
    </w:p>
    <w:p w:rsidR="00AE3E37" w:rsidRDefault="009B48CF">
      <w:pPr>
        <w:spacing w:before="41" w:line="154" w:lineRule="exact"/>
        <w:ind w:left="213" w:right="231"/>
        <w:jc w:val="both"/>
        <w:rPr>
          <w:rFonts w:ascii="Arial"/>
          <w:sz w:val="14"/>
        </w:rPr>
      </w:pPr>
      <w:r>
        <w:rPr>
          <w:rFonts w:ascii="Arial"/>
          <w:sz w:val="14"/>
        </w:rPr>
        <w:t xml:space="preserve">Nurakant Neupane is Medical biochemist at Nova International Diagnostic. </w:t>
      </w:r>
      <w:r w:rsidR="004A54B2">
        <w:rPr>
          <w:rFonts w:ascii="Arial"/>
          <w:sz w:val="14"/>
        </w:rPr>
        <w:t>He has</w:t>
      </w:r>
      <w:r>
        <w:rPr>
          <w:rFonts w:ascii="Arial"/>
          <w:sz w:val="14"/>
        </w:rPr>
        <w:t xml:space="preserve"> an MSc from Lovely Professional University</w:t>
      </w:r>
      <w:r w:rsidR="004A54B2">
        <w:rPr>
          <w:rFonts w:ascii="Arial"/>
          <w:sz w:val="14"/>
        </w:rPr>
        <w:t xml:space="preserve"> and trained</w:t>
      </w:r>
      <w:r>
        <w:rPr>
          <w:rFonts w:ascii="Arial"/>
          <w:sz w:val="14"/>
        </w:rPr>
        <w:t xml:space="preserve"> at Max Super Speciality</w:t>
      </w:r>
      <w:r w:rsidR="00FE38FF">
        <w:rPr>
          <w:rFonts w:ascii="Arial"/>
          <w:sz w:val="14"/>
        </w:rPr>
        <w:t xml:space="preserve"> Hospitals</w:t>
      </w:r>
      <w:r w:rsidR="00C938CB">
        <w:rPr>
          <w:rFonts w:ascii="Arial"/>
          <w:sz w:val="14"/>
        </w:rPr>
        <w:t>. He is me</w:t>
      </w:r>
      <w:r w:rsidR="00FE38FF">
        <w:rPr>
          <w:rFonts w:ascii="Arial"/>
          <w:sz w:val="14"/>
        </w:rPr>
        <w:t>mber of the Biotechnology Society of Nepal.</w:t>
      </w:r>
      <w:r w:rsidR="00C938CB">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2" w:history="1">
        <w:r w:rsidR="009B48CF" w:rsidRPr="009B694D">
          <w:rPr>
            <w:rStyle w:val="Hyperlink"/>
            <w:rFonts w:ascii="Arial"/>
            <w:sz w:val="14"/>
          </w:rPr>
          <w:t>nurakantn@mail.com</w:t>
        </w:r>
      </w:hyperlink>
    </w:p>
    <w:p w:rsidR="00AE3E37" w:rsidRDefault="007D5C62">
      <w:pPr>
        <w:pStyle w:val="BodyText"/>
        <w:spacing w:before="2"/>
        <w:rPr>
          <w:rFonts w:ascii="Arial"/>
          <w:sz w:val="19"/>
        </w:rPr>
      </w:pPr>
      <w:r w:rsidRPr="007D5C62">
        <w:rPr>
          <w:noProof/>
        </w:rPr>
        <w:pict>
          <v:line id="Line 3" o:spid="_x0000_s1026" style="position:absolute;z-index:251657216;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Pr="00FE38FF" w:rsidRDefault="00AE3E37" w:rsidP="00FE38FF">
      <w:pPr>
        <w:spacing w:before="39"/>
        <w:rPr>
          <w:rFonts w:ascii="Minion Pro"/>
          <w:b/>
          <w:sz w:val="20"/>
        </w:rPr>
        <w:sectPr w:rsidR="00AE3E37" w:rsidRPr="00FE38FF">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0892" w:rsidRDefault="007E0892">
      <w:r>
        <w:separator/>
      </w:r>
    </w:p>
  </w:endnote>
  <w:endnote w:type="continuationSeparator" w:id="1">
    <w:p w:rsidR="007E0892" w:rsidRDefault="007E089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utami">
    <w:panose1 w:val="020B0802040204020203"/>
    <w:charset w:val="00"/>
    <w:family w:val="swiss"/>
    <w:pitch w:val="variable"/>
    <w:sig w:usb0="002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MTSt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D5C62">
    <w:pPr>
      <w:pStyle w:val="BodyText"/>
      <w:spacing w:line="14" w:lineRule="auto"/>
      <w:rPr>
        <w:sz w:val="20"/>
      </w:rPr>
    </w:pPr>
    <w:r w:rsidRPr="007D5C62">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rsidR="00AE3E37" w:rsidRPr="00227290" w:rsidRDefault="00A9710C">
                <w:pPr>
                  <w:spacing w:before="8"/>
                  <w:ind w:left="20" w:right="-12"/>
                  <w:rPr>
                    <w:rFonts w:ascii="Arial"/>
                    <w:color w:val="FFFFFF"/>
                    <w:sz w:val="16"/>
                  </w:rPr>
                </w:pPr>
                <w:r w:rsidRPr="00227290">
                  <w:rPr>
                    <w:rFonts w:ascii="Arial"/>
                    <w:color w:val="FFFFFF"/>
                    <w:sz w:val="16"/>
                  </w:rPr>
                  <w:t>ISSN: 2167-0846 JPAR an open access journa</w:t>
                </w:r>
              </w:p>
            </w:txbxContent>
          </v:textbox>
          <w10:wrap anchorx="page" anchory="page"/>
        </v:shape>
      </w:pict>
    </w:r>
    <w:r w:rsidRPr="007D5C62">
      <w:rPr>
        <w:noProof/>
      </w:rPr>
      <w:pict>
        <v:shape id="Text Box 2" o:spid="_x0000_s2050" type="#_x0000_t202" style="position:absolute;margin-left:252.1pt;margin-top:799.05pt;width:91.9pt;height:24.95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w:r>
    <w:r w:rsidRPr="007D5C62">
      <w:rPr>
        <w:noProof/>
      </w:rPr>
      <w:pict>
        <v:shape id="Text Box 1" o:spid="_x0000_s2049" type="#_x0000_t202" style="position:absolute;margin-left:468.9pt;margin-top:798.8pt;width:91.4pt;height:26.05pt;z-index:-25165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0892" w:rsidRDefault="007E0892">
      <w:r>
        <w:separator/>
      </w:r>
    </w:p>
  </w:footnote>
  <w:footnote w:type="continuationSeparator" w:id="1">
    <w:p w:rsidR="007E0892" w:rsidRDefault="007E08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D5C62">
    <w:pPr>
      <w:pStyle w:val="BodyText"/>
      <w:spacing w:line="14" w:lineRule="auto"/>
      <w:rPr>
        <w:sz w:val="20"/>
      </w:rPr>
    </w:pPr>
    <w:r w:rsidRPr="007D5C62">
      <w:rPr>
        <w:noProof/>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2516608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Furuta et al., J Pai n Relief 2016, 5:3(Suppl) </w:t>
                </w:r>
                <w:hyperlink r:id="rId1">
                  <w:r w:rsidRPr="00227290">
                    <w:rPr>
                      <w:rFonts w:ascii="Arial"/>
                      <w:color w:val="FFFFFF"/>
                      <w:sz w:val="14"/>
                    </w:rPr>
                    <w:t>http://dx.doi.org/10.4172/2167-0846.C1.006</w:t>
                  </w:r>
                </w:hyperlink>
              </w:p>
            </w:txbxContent>
          </v:textbox>
          <w10:wrap anchorx="page" anchory="page"/>
        </v:shape>
      </w:pict>
    </w:r>
    <w:r w:rsidRPr="007D5C62">
      <w:rPr>
        <w:noProof/>
      </w:rPr>
      <w:pict>
        <v:shape id="Text Box 4" o:spid="_x0000_s2052" type="#_x0000_t202" style="position:absolute;margin-left:35pt;margin-top:48.3pt;width:515.95pt;height:40.1pt;z-index:-251659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o:shapelayout v:ext="edit">
      <o:idmap v:ext="edit" data="2"/>
    </o:shapelayout>
  </w:hdrShapeDefaults>
  <w:footnotePr>
    <w:footnote w:id="0"/>
    <w:footnote w:id="1"/>
  </w:footnotePr>
  <w:endnotePr>
    <w:endnote w:id="0"/>
    <w:endnote w:id="1"/>
  </w:endnotePr>
  <w:compat>
    <w:ulTrailSpace/>
  </w:compat>
  <w:rsids>
    <w:rsidRoot w:val="00AE3E37"/>
    <w:rsid w:val="0007409C"/>
    <w:rsid w:val="000A2832"/>
    <w:rsid w:val="000E2911"/>
    <w:rsid w:val="001263DF"/>
    <w:rsid w:val="001D75CF"/>
    <w:rsid w:val="001F2B05"/>
    <w:rsid w:val="00227290"/>
    <w:rsid w:val="002412A9"/>
    <w:rsid w:val="00292ED9"/>
    <w:rsid w:val="002C3E5C"/>
    <w:rsid w:val="003D335A"/>
    <w:rsid w:val="003E0BAE"/>
    <w:rsid w:val="00404E5B"/>
    <w:rsid w:val="00414F7B"/>
    <w:rsid w:val="004355DC"/>
    <w:rsid w:val="004749B4"/>
    <w:rsid w:val="00494130"/>
    <w:rsid w:val="004A54B2"/>
    <w:rsid w:val="004D7892"/>
    <w:rsid w:val="004F3523"/>
    <w:rsid w:val="00572DCD"/>
    <w:rsid w:val="005973B9"/>
    <w:rsid w:val="005B3A56"/>
    <w:rsid w:val="006060CE"/>
    <w:rsid w:val="00616C38"/>
    <w:rsid w:val="0063497F"/>
    <w:rsid w:val="00697164"/>
    <w:rsid w:val="007B0EBB"/>
    <w:rsid w:val="007B1F91"/>
    <w:rsid w:val="007C2320"/>
    <w:rsid w:val="007D5C62"/>
    <w:rsid w:val="007E0892"/>
    <w:rsid w:val="0086149D"/>
    <w:rsid w:val="00873DF0"/>
    <w:rsid w:val="008756E6"/>
    <w:rsid w:val="00887FA9"/>
    <w:rsid w:val="008A7674"/>
    <w:rsid w:val="00911FD5"/>
    <w:rsid w:val="009B2D44"/>
    <w:rsid w:val="009B48CF"/>
    <w:rsid w:val="00A07E82"/>
    <w:rsid w:val="00A36B14"/>
    <w:rsid w:val="00A9710C"/>
    <w:rsid w:val="00AE3E37"/>
    <w:rsid w:val="00B21A57"/>
    <w:rsid w:val="00C33602"/>
    <w:rsid w:val="00C938CB"/>
    <w:rsid w:val="00CB43F5"/>
    <w:rsid w:val="00CD6F55"/>
    <w:rsid w:val="00DC7620"/>
    <w:rsid w:val="00DE3104"/>
    <w:rsid w:val="00EF6537"/>
    <w:rsid w:val="00F40193"/>
    <w:rsid w:val="00F53D16"/>
    <w:rsid w:val="00F72EEA"/>
    <w:rsid w:val="00F84CAE"/>
    <w:rsid w:val="00FE38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Line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Gautam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customStyle="1" w:styleId="UnresolvedMention">
    <w:name w:val="Unresolved Mention"/>
    <w:uiPriority w:val="99"/>
    <w:semiHidden/>
    <w:unhideWhenUsed/>
    <w:rsid w:val="004A54B2"/>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52536481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nurakantn@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hyperlink" Target="https://pdfs.semanticscholar.org/d4ad/8ac8a46e20f0216e8038b4b7b787ff26a645.pdf" TargetMode="External"/><Relationship Id="rId4" Type="http://schemas.openxmlformats.org/officeDocument/2006/relationships/webSettings" Target="webSettings.xml"/><Relationship Id="rId9" Type="http://schemas.openxmlformats.org/officeDocument/2006/relationships/hyperlink" Target="https://scholar.google.com/scholar?oi=bibs&amp;cluster=14771009553844871279&amp;btnI=1&amp;hl=en"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1</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3031</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19</cp:revision>
  <dcterms:created xsi:type="dcterms:W3CDTF">2020-04-29T12:54:00Z</dcterms:created>
  <dcterms:modified xsi:type="dcterms:W3CDTF">2020-05-04T18:16:00Z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