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56A" w:rsidRDefault="0059556A" w:rsidP="0059556A">
      <w:pPr>
        <w:spacing w:line="480" w:lineRule="auto"/>
        <w:jc w:val="center"/>
        <w:rPr>
          <w:rFonts w:eastAsia="Times New Roman"/>
          <w:b/>
          <w:bCs/>
          <w:color w:val="auto"/>
          <w:szCs w:val="24"/>
          <w:lang w:bidi="ne-NP"/>
        </w:rPr>
      </w:pPr>
      <w:bookmarkStart w:id="0" w:name="_Toc64092184"/>
      <w:r w:rsidRPr="0059556A">
        <w:rPr>
          <w:rFonts w:eastAsia="Times New Roman"/>
          <w:b/>
          <w:bCs/>
          <w:color w:val="auto"/>
          <w:szCs w:val="24"/>
          <w:lang w:bidi="ne-NP"/>
        </w:rPr>
        <w:t xml:space="preserve">COMPARISON OF </w:t>
      </w:r>
      <w:r w:rsidR="009256CD">
        <w:rPr>
          <w:rFonts w:eastAsia="Times New Roman"/>
          <w:b/>
          <w:bCs/>
          <w:color w:val="auto"/>
          <w:szCs w:val="24"/>
          <w:lang w:bidi="ne-NP"/>
        </w:rPr>
        <w:t xml:space="preserve"> SERUM </w:t>
      </w:r>
      <w:r w:rsidRPr="0059556A">
        <w:rPr>
          <w:rFonts w:eastAsia="Times New Roman"/>
          <w:b/>
          <w:bCs/>
          <w:color w:val="auto"/>
          <w:szCs w:val="24"/>
          <w:lang w:bidi="ne-NP"/>
        </w:rPr>
        <w:t>HER2/neu</w:t>
      </w:r>
      <w:r w:rsidR="003506DA">
        <w:rPr>
          <w:rFonts w:eastAsia="Times New Roman"/>
          <w:b/>
          <w:bCs/>
          <w:color w:val="auto"/>
          <w:szCs w:val="24"/>
          <w:lang w:bidi="ne-NP"/>
        </w:rPr>
        <w:t xml:space="preserve"> WITH  TISSUE ESTROGEN AND PROGESTERONE RECEPTOR (ER/PR)</w:t>
      </w:r>
    </w:p>
    <w:p w:rsidR="0059556A" w:rsidRPr="0059556A" w:rsidRDefault="0059556A" w:rsidP="0059556A">
      <w:pPr>
        <w:spacing w:line="480" w:lineRule="auto"/>
        <w:jc w:val="center"/>
        <w:rPr>
          <w:rFonts w:eastAsia="Times New Roman"/>
          <w:b/>
          <w:bCs/>
          <w:color w:val="auto"/>
          <w:szCs w:val="24"/>
          <w:lang w:bidi="ne-NP"/>
        </w:rPr>
      </w:pPr>
      <w:r w:rsidRPr="0059556A">
        <w:rPr>
          <w:rFonts w:eastAsia="Times New Roman"/>
          <w:b/>
          <w:bCs/>
          <w:color w:val="auto"/>
          <w:szCs w:val="24"/>
          <w:lang w:bidi="ne-NP"/>
        </w:rPr>
        <w:t>Rakesh Pokhrel</w:t>
      </w:r>
      <w:r w:rsidRPr="0059556A">
        <w:rPr>
          <w:rFonts w:eastAsia="Times New Roman"/>
          <w:b/>
          <w:bCs/>
          <w:color w:val="auto"/>
          <w:szCs w:val="24"/>
          <w:vertAlign w:val="superscript"/>
          <w:lang w:bidi="ne-NP"/>
        </w:rPr>
        <w:t xml:space="preserve">1 </w:t>
      </w:r>
      <w:r w:rsidRPr="0059556A">
        <w:rPr>
          <w:rFonts w:eastAsia="Times New Roman"/>
          <w:b/>
          <w:bCs/>
          <w:color w:val="auto"/>
          <w:szCs w:val="24"/>
          <w:lang w:bidi="ne-NP"/>
        </w:rPr>
        <w:t xml:space="preserve">,  </w:t>
      </w:r>
      <w:r>
        <w:rPr>
          <w:rFonts w:eastAsia="Times New Roman"/>
          <w:b/>
          <w:bCs/>
          <w:color w:val="auto"/>
          <w:szCs w:val="24"/>
          <w:lang w:bidi="ne-NP"/>
        </w:rPr>
        <w:t>,</w:t>
      </w:r>
      <w:r w:rsidR="00E91ACC" w:rsidRPr="00E91ACC">
        <w:rPr>
          <w:rFonts w:eastAsia="Times New Roman"/>
          <w:b/>
          <w:bCs/>
          <w:color w:val="auto"/>
          <w:szCs w:val="24"/>
          <w:lang w:bidi="ne-NP"/>
        </w:rPr>
        <w:t>Akash Mishra</w:t>
      </w:r>
      <w:r w:rsidR="00E91ACC" w:rsidRPr="00E91ACC">
        <w:rPr>
          <w:rFonts w:eastAsia="Times New Roman"/>
          <w:b/>
          <w:bCs/>
          <w:color w:val="auto"/>
          <w:szCs w:val="24"/>
          <w:vertAlign w:val="superscript"/>
          <w:lang w:bidi="ne-NP"/>
        </w:rPr>
        <w:t>1</w:t>
      </w:r>
      <w:r w:rsidRPr="0059556A">
        <w:rPr>
          <w:rFonts w:eastAsia="Times New Roman"/>
          <w:b/>
          <w:bCs/>
          <w:color w:val="auto"/>
          <w:szCs w:val="24"/>
          <w:lang w:bidi="ne-NP"/>
        </w:rPr>
        <w:t>Uttam Budhathoki</w:t>
      </w:r>
      <w:r w:rsidRPr="0059556A">
        <w:rPr>
          <w:rFonts w:eastAsia="Times New Roman"/>
          <w:b/>
          <w:bCs/>
          <w:color w:val="auto"/>
          <w:szCs w:val="24"/>
          <w:vertAlign w:val="superscript"/>
          <w:lang w:bidi="ne-NP"/>
        </w:rPr>
        <w:t>1</w:t>
      </w:r>
    </w:p>
    <w:p w:rsidR="0059556A" w:rsidRDefault="0059556A" w:rsidP="0059556A">
      <w:pPr>
        <w:spacing w:line="480" w:lineRule="auto"/>
        <w:jc w:val="left"/>
        <w:rPr>
          <w:rFonts w:eastAsia="Times New Roman"/>
          <w:color w:val="auto"/>
          <w:szCs w:val="24"/>
          <w:lang w:bidi="ne-NP"/>
        </w:rPr>
      </w:pPr>
      <w:r w:rsidRPr="0059556A">
        <w:rPr>
          <w:rFonts w:eastAsia="Times New Roman"/>
          <w:color w:val="auto"/>
          <w:szCs w:val="24"/>
          <w:vertAlign w:val="superscript"/>
          <w:lang w:bidi="ne-NP"/>
        </w:rPr>
        <w:t>1</w:t>
      </w:r>
      <w:r w:rsidRPr="0059556A">
        <w:rPr>
          <w:rFonts w:eastAsia="Times New Roman"/>
          <w:color w:val="auto"/>
          <w:szCs w:val="24"/>
          <w:lang w:bidi="ne-NP"/>
        </w:rPr>
        <w:t>Dep</w:t>
      </w:r>
      <w:r>
        <w:rPr>
          <w:rFonts w:eastAsia="Times New Roman"/>
          <w:color w:val="auto"/>
          <w:szCs w:val="24"/>
          <w:lang w:bidi="ne-NP"/>
        </w:rPr>
        <w:t xml:space="preserve">artment </w:t>
      </w:r>
      <w:r w:rsidR="0002208C">
        <w:rPr>
          <w:rFonts w:eastAsia="Times New Roman"/>
          <w:color w:val="auto"/>
          <w:szCs w:val="24"/>
          <w:lang w:bidi="ne-NP"/>
        </w:rPr>
        <w:t xml:space="preserve">of </w:t>
      </w:r>
      <w:r w:rsidR="0002208C" w:rsidRPr="0059556A">
        <w:rPr>
          <w:rFonts w:eastAsia="Times New Roman"/>
          <w:color w:val="auto"/>
          <w:szCs w:val="24"/>
          <w:lang w:bidi="ne-NP"/>
        </w:rPr>
        <w:t>Biochemistry</w:t>
      </w:r>
      <w:r w:rsidRPr="0059556A">
        <w:rPr>
          <w:rFonts w:eastAsia="Times New Roman"/>
          <w:color w:val="auto"/>
          <w:szCs w:val="24"/>
          <w:lang w:bidi="ne-NP"/>
        </w:rPr>
        <w:t>, Institute of Medicine Kathmandu, Nepal</w:t>
      </w:r>
    </w:p>
    <w:p w:rsidR="00FE50AE" w:rsidRPr="00AA1D7A" w:rsidRDefault="00E84FCE" w:rsidP="00AA1D7A">
      <w:pPr>
        <w:spacing w:after="0"/>
        <w:ind w:left="2880" w:firstLine="720"/>
        <w:rPr>
          <w:b/>
          <w:color w:val="000000" w:themeColor="text1"/>
          <w:sz w:val="32"/>
          <w:szCs w:val="32"/>
        </w:rPr>
      </w:pPr>
      <w:r w:rsidRPr="00FE50AE">
        <w:rPr>
          <w:b/>
          <w:color w:val="000000" w:themeColor="text1"/>
          <w:sz w:val="32"/>
          <w:szCs w:val="32"/>
        </w:rPr>
        <w:t>ABSTRACT</w:t>
      </w:r>
      <w:bookmarkEnd w:id="0"/>
    </w:p>
    <w:p w:rsidR="00E84FCE" w:rsidRPr="00F16676" w:rsidRDefault="00E84FCE" w:rsidP="00E84FCE">
      <w:pPr>
        <w:spacing w:after="0"/>
        <w:rPr>
          <w:b/>
          <w:bCs/>
          <w:szCs w:val="24"/>
        </w:rPr>
      </w:pPr>
      <w:r w:rsidRPr="00F16676">
        <w:rPr>
          <w:b/>
          <w:bCs/>
          <w:szCs w:val="24"/>
        </w:rPr>
        <w:t xml:space="preserve">Background </w:t>
      </w:r>
      <w:r w:rsidR="00F16676" w:rsidRPr="00F16676">
        <w:rPr>
          <w:b/>
          <w:bCs/>
          <w:szCs w:val="24"/>
        </w:rPr>
        <w:t xml:space="preserve">and objectives </w:t>
      </w:r>
    </w:p>
    <w:p w:rsidR="00F16676" w:rsidRDefault="00E84FCE" w:rsidP="00E84FCE">
      <w:pPr>
        <w:spacing w:after="0"/>
        <w:rPr>
          <w:szCs w:val="24"/>
        </w:rPr>
      </w:pPr>
      <w:r w:rsidRPr="008B0D41">
        <w:rPr>
          <w:szCs w:val="24"/>
        </w:rPr>
        <w:t xml:space="preserve"> HER2/neu</w:t>
      </w:r>
      <w:r w:rsidR="00F84E75">
        <w:rPr>
          <w:szCs w:val="24"/>
        </w:rPr>
        <w:t xml:space="preserve"> is one of the </w:t>
      </w:r>
      <w:r w:rsidR="00F84E75" w:rsidRPr="008B0D41">
        <w:rPr>
          <w:szCs w:val="24"/>
        </w:rPr>
        <w:t>extensively</w:t>
      </w:r>
      <w:r w:rsidRPr="008B0D41">
        <w:rPr>
          <w:szCs w:val="24"/>
        </w:rPr>
        <w:t xml:space="preserve"> studied</w:t>
      </w:r>
      <w:r w:rsidR="00F84E75">
        <w:rPr>
          <w:szCs w:val="24"/>
        </w:rPr>
        <w:t xml:space="preserve"> proto-oncogens </w:t>
      </w:r>
      <w:r w:rsidR="00F84E75" w:rsidRPr="008B0D41">
        <w:rPr>
          <w:szCs w:val="24"/>
        </w:rPr>
        <w:t>in</w:t>
      </w:r>
      <w:r w:rsidRPr="008B0D41">
        <w:rPr>
          <w:szCs w:val="24"/>
        </w:rPr>
        <w:t xml:space="preserve"> breast cancer patients.Accurat</w:t>
      </w:r>
      <w:r>
        <w:rPr>
          <w:szCs w:val="24"/>
        </w:rPr>
        <w:t>e and timely assessment of the Human Epidermal Growth Factor R</w:t>
      </w:r>
      <w:r w:rsidRPr="008B0D41">
        <w:rPr>
          <w:szCs w:val="24"/>
        </w:rPr>
        <w:t>eceptor 2 (HER2/neu) ove</w:t>
      </w:r>
      <w:r>
        <w:rPr>
          <w:szCs w:val="24"/>
        </w:rPr>
        <w:t xml:space="preserve">r </w:t>
      </w:r>
      <w:r w:rsidRPr="008B0D41">
        <w:rPr>
          <w:szCs w:val="24"/>
        </w:rPr>
        <w:t>expression is pivotal for the iden</w:t>
      </w:r>
      <w:r>
        <w:rPr>
          <w:szCs w:val="24"/>
        </w:rPr>
        <w:t xml:space="preserve">tification of breast cancer </w:t>
      </w:r>
      <w:r w:rsidRPr="008B0D41">
        <w:rPr>
          <w:szCs w:val="24"/>
        </w:rPr>
        <w:t>patients that could benefit from HER2-targeted therapy. Serum levels of HER2/n</w:t>
      </w:r>
      <w:r w:rsidR="005C1607">
        <w:rPr>
          <w:szCs w:val="24"/>
        </w:rPr>
        <w:t>eu by CLIA</w:t>
      </w:r>
      <w:r w:rsidRPr="008B0D41">
        <w:rPr>
          <w:szCs w:val="24"/>
        </w:rPr>
        <w:t xml:space="preserve"> in breast cancer patients were compared with tissue HER2/neu expression and with other clinico</w:t>
      </w:r>
      <w:r w:rsidR="005C1607">
        <w:rPr>
          <w:szCs w:val="24"/>
        </w:rPr>
        <w:t>pathological parameters with an</w:t>
      </w:r>
      <w:r w:rsidRPr="008B0D41">
        <w:rPr>
          <w:szCs w:val="24"/>
        </w:rPr>
        <w:t xml:space="preserve"> aim to investigate the</w:t>
      </w:r>
      <w:r w:rsidR="005C1607">
        <w:rPr>
          <w:szCs w:val="24"/>
        </w:rPr>
        <w:t xml:space="preserve"> correlation </w:t>
      </w:r>
      <w:r w:rsidR="001D407F">
        <w:rPr>
          <w:szCs w:val="24"/>
        </w:rPr>
        <w:t xml:space="preserve">between </w:t>
      </w:r>
      <w:r w:rsidR="0059556A">
        <w:rPr>
          <w:szCs w:val="24"/>
        </w:rPr>
        <w:t>noninvasive</w:t>
      </w:r>
      <w:r w:rsidRPr="008B0D41">
        <w:rPr>
          <w:szCs w:val="24"/>
        </w:rPr>
        <w:t xml:space="preserve">serum </w:t>
      </w:r>
      <w:r>
        <w:rPr>
          <w:szCs w:val="24"/>
        </w:rPr>
        <w:t>HER2/neu</w:t>
      </w:r>
      <w:r w:rsidRPr="008B0D41">
        <w:rPr>
          <w:szCs w:val="24"/>
        </w:rPr>
        <w:t>assay</w:t>
      </w:r>
      <w:r w:rsidR="005C1607">
        <w:rPr>
          <w:szCs w:val="24"/>
        </w:rPr>
        <w:t xml:space="preserve">and </w:t>
      </w:r>
      <w:r>
        <w:rPr>
          <w:szCs w:val="24"/>
        </w:rPr>
        <w:t>tissue expression of the HE</w:t>
      </w:r>
      <w:r w:rsidR="005C1607">
        <w:rPr>
          <w:szCs w:val="24"/>
        </w:rPr>
        <w:t xml:space="preserve">R2/neu by </w:t>
      </w:r>
      <w:r w:rsidR="003C7419">
        <w:rPr>
          <w:szCs w:val="24"/>
        </w:rPr>
        <w:t>Immunohistochemistry</w:t>
      </w:r>
      <w:r w:rsidR="001D407F">
        <w:rPr>
          <w:szCs w:val="24"/>
        </w:rPr>
        <w:t>methods.</w:t>
      </w:r>
    </w:p>
    <w:p w:rsidR="00E84FCE" w:rsidRPr="00F16676" w:rsidRDefault="00E84FCE" w:rsidP="00E84FCE">
      <w:pPr>
        <w:spacing w:after="0"/>
        <w:rPr>
          <w:b/>
          <w:bCs/>
          <w:szCs w:val="24"/>
        </w:rPr>
      </w:pPr>
      <w:r w:rsidRPr="00F16676">
        <w:rPr>
          <w:b/>
          <w:bCs/>
          <w:szCs w:val="24"/>
        </w:rPr>
        <w:t xml:space="preserve">Methods </w:t>
      </w:r>
    </w:p>
    <w:p w:rsidR="00E84FCE" w:rsidRPr="00F16676" w:rsidRDefault="005C1607" w:rsidP="00E84FCE">
      <w:pPr>
        <w:spacing w:after="0"/>
        <w:rPr>
          <w:szCs w:val="24"/>
        </w:rPr>
      </w:pPr>
      <w:r>
        <w:rPr>
          <w:szCs w:val="24"/>
        </w:rPr>
        <w:t>Serum</w:t>
      </w:r>
      <w:r w:rsidR="00E84FCE">
        <w:rPr>
          <w:szCs w:val="24"/>
        </w:rPr>
        <w:t xml:space="preserve"> sample and tissue/paraffin block was collected from 52 patients with breast cancer before start of any anticancer regimen or hormonal therapy .</w:t>
      </w:r>
      <w:r w:rsidR="00E84FCE" w:rsidRPr="000531DA">
        <w:rPr>
          <w:color w:val="000000"/>
          <w:szCs w:val="24"/>
          <w:shd w:val="clear" w:color="auto" w:fill="FFFFFF"/>
        </w:rPr>
        <w:t>The tissue specimens were processed routinely and immunohistochemistry (IHC) for HER2</w:t>
      </w:r>
      <w:r w:rsidR="00E84FCE">
        <w:rPr>
          <w:color w:val="000000"/>
          <w:szCs w:val="24"/>
          <w:shd w:val="clear" w:color="auto" w:fill="FFFFFF"/>
        </w:rPr>
        <w:t>neu</w:t>
      </w:r>
      <w:r w:rsidR="00E84FCE" w:rsidRPr="000531DA">
        <w:rPr>
          <w:color w:val="000000"/>
          <w:szCs w:val="24"/>
          <w:shd w:val="clear" w:color="auto" w:fill="FFFFFF"/>
        </w:rPr>
        <w:t>/ER/PR (</w:t>
      </w:r>
      <w:r w:rsidRPr="000531DA">
        <w:rPr>
          <w:color w:val="000000"/>
          <w:szCs w:val="24"/>
          <w:shd w:val="clear" w:color="auto" w:fill="FFFFFF"/>
        </w:rPr>
        <w:t>estrogen</w:t>
      </w:r>
      <w:r w:rsidR="00E84FCE" w:rsidRPr="000531DA">
        <w:rPr>
          <w:color w:val="000000"/>
          <w:szCs w:val="24"/>
          <w:shd w:val="clear" w:color="auto" w:fill="FFFFFF"/>
        </w:rPr>
        <w:t>/p</w:t>
      </w:r>
      <w:r w:rsidR="00E84FCE">
        <w:rPr>
          <w:color w:val="000000"/>
          <w:szCs w:val="24"/>
          <w:shd w:val="clear" w:color="auto" w:fill="FFFFFF"/>
        </w:rPr>
        <w:t xml:space="preserve">rogesterone receptors) </w:t>
      </w:r>
      <w:r w:rsidR="00E84FCE" w:rsidRPr="000531DA">
        <w:rPr>
          <w:color w:val="000000"/>
          <w:szCs w:val="24"/>
          <w:shd w:val="clear" w:color="auto" w:fill="FFFFFF"/>
        </w:rPr>
        <w:t>.</w:t>
      </w:r>
      <w:r w:rsidR="00E84FCE">
        <w:rPr>
          <w:color w:val="000000"/>
          <w:szCs w:val="24"/>
          <w:shd w:val="clear" w:color="auto" w:fill="FFFFFF"/>
        </w:rPr>
        <w:t xml:space="preserve">Serum HER2/neu was estimated using </w:t>
      </w:r>
      <w:r w:rsidR="00BD008F">
        <w:rPr>
          <w:color w:val="000000"/>
          <w:szCs w:val="24"/>
          <w:shd w:val="clear" w:color="auto" w:fill="FFFFFF"/>
        </w:rPr>
        <w:t>the chemiluminiscent</w:t>
      </w:r>
      <w:r w:rsidR="00E84FCE">
        <w:rPr>
          <w:color w:val="000000"/>
          <w:szCs w:val="24"/>
          <w:shd w:val="clear" w:color="auto" w:fill="FFFFFF"/>
        </w:rPr>
        <w:t xml:space="preserve"> immunoassay using 15ng/ml as the cut </w:t>
      </w:r>
      <w:r w:rsidR="00BD008F">
        <w:rPr>
          <w:color w:val="000000"/>
          <w:szCs w:val="24"/>
          <w:shd w:val="clear" w:color="auto" w:fill="FFFFFF"/>
        </w:rPr>
        <w:t>off.</w:t>
      </w:r>
    </w:p>
    <w:p w:rsidR="00E84FCE" w:rsidRPr="00F16676" w:rsidRDefault="00E84FCE" w:rsidP="00E84FCE">
      <w:pPr>
        <w:spacing w:after="0"/>
        <w:rPr>
          <w:b/>
          <w:bCs/>
          <w:szCs w:val="24"/>
        </w:rPr>
      </w:pPr>
      <w:r w:rsidRPr="00F16676">
        <w:rPr>
          <w:b/>
          <w:bCs/>
          <w:szCs w:val="24"/>
        </w:rPr>
        <w:t xml:space="preserve">Results </w:t>
      </w:r>
    </w:p>
    <w:p w:rsidR="00F16676" w:rsidRPr="00F16676" w:rsidRDefault="00E84FCE" w:rsidP="00E84FCE">
      <w:pPr>
        <w:spacing w:after="0"/>
        <w:rPr>
          <w:szCs w:val="24"/>
        </w:rPr>
      </w:pPr>
      <w:r w:rsidRPr="004011AE">
        <w:rPr>
          <w:szCs w:val="24"/>
        </w:rPr>
        <w:t>Out of 52 patients with breast cancer,</w:t>
      </w:r>
      <w:r>
        <w:rPr>
          <w:szCs w:val="24"/>
        </w:rPr>
        <w:t xml:space="preserve"> serum  HER2/neu was found elevated  in </w:t>
      </w:r>
      <w:r>
        <w:t>25  (48.1%) patients and remaining 27 (51.9%) showed normal serum HER2/neu concentrations .</w:t>
      </w:r>
      <w:r>
        <w:rPr>
          <w:szCs w:val="24"/>
        </w:rPr>
        <w:t>On, IHC HER2 31 (59.6%) patients were ER positive and 28(53.8%) were PR positive ..</w:t>
      </w:r>
      <w:r w:rsidRPr="00583C15">
        <w:rPr>
          <w:szCs w:val="24"/>
        </w:rPr>
        <w:t>Serum HER2/neu levels showed a negative correlation with ER status (</w:t>
      </w:r>
      <w:r w:rsidRPr="00583C15">
        <w:rPr>
          <w:i/>
          <w:iCs/>
          <w:szCs w:val="24"/>
        </w:rPr>
        <w:t>P</w:t>
      </w:r>
      <w:r w:rsidRPr="00583C15">
        <w:rPr>
          <w:szCs w:val="24"/>
        </w:rPr>
        <w:t>=0.047) but no correlation with PR status.</w:t>
      </w:r>
    </w:p>
    <w:p w:rsidR="00966D2B" w:rsidRDefault="00966D2B" w:rsidP="00E84FCE">
      <w:pPr>
        <w:spacing w:after="0"/>
        <w:rPr>
          <w:b/>
          <w:bCs/>
          <w:szCs w:val="24"/>
        </w:rPr>
      </w:pPr>
    </w:p>
    <w:p w:rsidR="00966D2B" w:rsidRDefault="00966D2B" w:rsidP="00E84FCE">
      <w:pPr>
        <w:spacing w:after="0"/>
        <w:rPr>
          <w:b/>
          <w:bCs/>
          <w:szCs w:val="24"/>
        </w:rPr>
      </w:pPr>
    </w:p>
    <w:p w:rsidR="00966D2B" w:rsidRDefault="00966D2B" w:rsidP="00E84FCE">
      <w:pPr>
        <w:spacing w:after="0"/>
        <w:rPr>
          <w:b/>
          <w:bCs/>
          <w:szCs w:val="24"/>
        </w:rPr>
      </w:pPr>
    </w:p>
    <w:p w:rsidR="00966D2B" w:rsidRDefault="00966D2B" w:rsidP="00E84FCE">
      <w:pPr>
        <w:spacing w:after="0"/>
        <w:rPr>
          <w:b/>
          <w:bCs/>
          <w:szCs w:val="24"/>
        </w:rPr>
      </w:pPr>
    </w:p>
    <w:p w:rsidR="00E84FCE" w:rsidRPr="00F16676" w:rsidRDefault="00E84FCE" w:rsidP="00E84FCE">
      <w:pPr>
        <w:spacing w:after="0"/>
        <w:rPr>
          <w:b/>
          <w:bCs/>
          <w:szCs w:val="24"/>
        </w:rPr>
      </w:pPr>
      <w:r w:rsidRPr="00F16676">
        <w:rPr>
          <w:b/>
          <w:bCs/>
          <w:szCs w:val="24"/>
        </w:rPr>
        <w:lastRenderedPageBreak/>
        <w:t xml:space="preserve">Conclusion </w:t>
      </w:r>
    </w:p>
    <w:p w:rsidR="00E84FCE" w:rsidRDefault="00E84FCE" w:rsidP="00E84FCE">
      <w:pPr>
        <w:spacing w:after="0"/>
        <w:rPr>
          <w:szCs w:val="24"/>
        </w:rPr>
      </w:pPr>
      <w:r w:rsidRPr="00583C15">
        <w:rPr>
          <w:szCs w:val="24"/>
        </w:rPr>
        <w:t xml:space="preserve">The result </w:t>
      </w:r>
      <w:r>
        <w:rPr>
          <w:szCs w:val="24"/>
        </w:rPr>
        <w:t xml:space="preserve">showed </w:t>
      </w:r>
      <w:r w:rsidRPr="00583C15">
        <w:rPr>
          <w:szCs w:val="24"/>
        </w:rPr>
        <w:t>that the elevated serum HER2/neu was</w:t>
      </w:r>
      <w:r w:rsidR="00966D2B">
        <w:rPr>
          <w:szCs w:val="24"/>
        </w:rPr>
        <w:t xml:space="preserve"> negatively correlated with the IHC ER expression and not correlated with the PR IHC expression. </w:t>
      </w:r>
      <w:r w:rsidRPr="00583C15">
        <w:rPr>
          <w:szCs w:val="24"/>
        </w:rPr>
        <w:t xml:space="preserve">Findings suggest that </w:t>
      </w:r>
      <w:r>
        <w:rPr>
          <w:szCs w:val="24"/>
        </w:rPr>
        <w:t xml:space="preserve">post initial tissue diagnosis (IHC </w:t>
      </w:r>
      <w:r w:rsidRPr="00583C15">
        <w:rPr>
          <w:szCs w:val="24"/>
        </w:rPr>
        <w:t>HER2</w:t>
      </w:r>
      <w:r>
        <w:rPr>
          <w:szCs w:val="24"/>
        </w:rPr>
        <w:t>/neu</w:t>
      </w:r>
      <w:r w:rsidRPr="00583C15">
        <w:rPr>
          <w:szCs w:val="24"/>
        </w:rPr>
        <w:t>), s</w:t>
      </w:r>
      <w:r>
        <w:rPr>
          <w:szCs w:val="24"/>
        </w:rPr>
        <w:t xml:space="preserve">erum </w:t>
      </w:r>
      <w:r w:rsidRPr="00583C15">
        <w:rPr>
          <w:szCs w:val="24"/>
        </w:rPr>
        <w:t>HER2 assay may supplement subsequent tissue tests to monitor disease status and response to therapy</w:t>
      </w:r>
      <w:r>
        <w:rPr>
          <w:szCs w:val="24"/>
        </w:rPr>
        <w:t>.</w:t>
      </w:r>
    </w:p>
    <w:p w:rsidR="00E84FCE" w:rsidRDefault="00E84FCE" w:rsidP="00E84FCE">
      <w:pPr>
        <w:spacing w:after="0"/>
        <w:rPr>
          <w:szCs w:val="24"/>
        </w:rPr>
      </w:pPr>
    </w:p>
    <w:p w:rsidR="000A44C1" w:rsidRDefault="00E84FCE" w:rsidP="00E84FCE">
      <w:pPr>
        <w:spacing w:after="0"/>
        <w:rPr>
          <w:b/>
          <w:bCs/>
          <w:sz w:val="28"/>
          <w:szCs w:val="28"/>
        </w:rPr>
      </w:pPr>
      <w:r w:rsidRPr="00F16676">
        <w:rPr>
          <w:b/>
          <w:bCs/>
          <w:szCs w:val="24"/>
        </w:rPr>
        <w:t>Key words:</w:t>
      </w:r>
      <w:r w:rsidRPr="007C741F">
        <w:rPr>
          <w:szCs w:val="24"/>
        </w:rPr>
        <w:t>Breast cancer, IHC, HER2/neu,ER, PR, CLIA</w:t>
      </w:r>
    </w:p>
    <w:sectPr w:rsidR="000A44C1" w:rsidSect="00F16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D02" w:rsidRDefault="00811D02" w:rsidP="00FE50AE">
      <w:pPr>
        <w:spacing w:after="0" w:line="240" w:lineRule="auto"/>
      </w:pPr>
      <w:r>
        <w:separator/>
      </w:r>
    </w:p>
  </w:endnote>
  <w:endnote w:type="continuationSeparator" w:id="1">
    <w:p w:rsidR="00811D02" w:rsidRDefault="00811D02" w:rsidP="00FE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D02" w:rsidRDefault="00811D02" w:rsidP="00FE50AE">
      <w:pPr>
        <w:spacing w:after="0" w:line="240" w:lineRule="auto"/>
      </w:pPr>
      <w:r>
        <w:separator/>
      </w:r>
    </w:p>
  </w:footnote>
  <w:footnote w:type="continuationSeparator" w:id="1">
    <w:p w:rsidR="00811D02" w:rsidRDefault="00811D02" w:rsidP="00FE5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E0D80"/>
    <w:multiLevelType w:val="hybridMultilevel"/>
    <w:tmpl w:val="0A525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Sup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tpftw99qafartee0zopxfvkx5azaspseffr&quot;&gt;Her 2 neu&lt;record-ids&gt;&lt;item&gt;161&lt;/item&gt;&lt;item&gt;166&lt;/item&gt;&lt;item&gt;174&lt;/item&gt;&lt;item&gt;175&lt;/item&gt;&lt;item&gt;204&lt;/item&gt;&lt;item&gt;205&lt;/item&gt;&lt;item&gt;206&lt;/item&gt;&lt;item&gt;207&lt;/item&gt;&lt;item&gt;209&lt;/item&gt;&lt;item&gt;210&lt;/item&gt;&lt;item&gt;213&lt;/item&gt;&lt;item&gt;214&lt;/item&gt;&lt;item&gt;215&lt;/item&gt;&lt;item&gt;216&lt;/item&gt;&lt;item&gt;218&lt;/item&gt;&lt;item&gt;219&lt;/item&gt;&lt;item&gt;221&lt;/item&gt;&lt;item&gt;222&lt;/item&gt;&lt;item&gt;223&lt;/item&gt;&lt;item&gt;225&lt;/item&gt;&lt;item&gt;227&lt;/item&gt;&lt;item&gt;229&lt;/item&gt;&lt;item&gt;230&lt;/item&gt;&lt;item&gt;231&lt;/item&gt;&lt;item&gt;232&lt;/item&gt;&lt;item&gt;233&lt;/item&gt;&lt;item&gt;234&lt;/item&gt;&lt;item&gt;236&lt;/item&gt;&lt;item&gt;237&lt;/item&gt;&lt;item&gt;239&lt;/item&gt;&lt;item&gt;241&lt;/item&gt;&lt;item&gt;242&lt;/item&gt;&lt;/record-ids&gt;&lt;/item&gt;&lt;/Libraries&gt;"/>
  </w:docVars>
  <w:rsids>
    <w:rsidRoot w:val="00E84FCE"/>
    <w:rsid w:val="000123DD"/>
    <w:rsid w:val="0002208C"/>
    <w:rsid w:val="000546E6"/>
    <w:rsid w:val="00080516"/>
    <w:rsid w:val="0009326A"/>
    <w:rsid w:val="000A44C1"/>
    <w:rsid w:val="0014608D"/>
    <w:rsid w:val="001559C8"/>
    <w:rsid w:val="00161E6C"/>
    <w:rsid w:val="00164172"/>
    <w:rsid w:val="001D407F"/>
    <w:rsid w:val="00215029"/>
    <w:rsid w:val="002417B1"/>
    <w:rsid w:val="002450F7"/>
    <w:rsid w:val="00265BE5"/>
    <w:rsid w:val="00286E85"/>
    <w:rsid w:val="002D4F97"/>
    <w:rsid w:val="003506DA"/>
    <w:rsid w:val="00384D28"/>
    <w:rsid w:val="003A2BC9"/>
    <w:rsid w:val="003C7419"/>
    <w:rsid w:val="004308E9"/>
    <w:rsid w:val="00445D28"/>
    <w:rsid w:val="004C7C12"/>
    <w:rsid w:val="0059556A"/>
    <w:rsid w:val="005C1484"/>
    <w:rsid w:val="005C1607"/>
    <w:rsid w:val="005E744C"/>
    <w:rsid w:val="005E7C92"/>
    <w:rsid w:val="00603061"/>
    <w:rsid w:val="00620B22"/>
    <w:rsid w:val="00634CCB"/>
    <w:rsid w:val="00667183"/>
    <w:rsid w:val="00672C6F"/>
    <w:rsid w:val="007B4BD7"/>
    <w:rsid w:val="00811D02"/>
    <w:rsid w:val="00815683"/>
    <w:rsid w:val="0084197F"/>
    <w:rsid w:val="008B2117"/>
    <w:rsid w:val="008B30E4"/>
    <w:rsid w:val="00902A67"/>
    <w:rsid w:val="00923DB5"/>
    <w:rsid w:val="009256CD"/>
    <w:rsid w:val="00966D2B"/>
    <w:rsid w:val="00981A99"/>
    <w:rsid w:val="009D2A47"/>
    <w:rsid w:val="00A03668"/>
    <w:rsid w:val="00A06FB6"/>
    <w:rsid w:val="00AA1D7A"/>
    <w:rsid w:val="00AB3BC7"/>
    <w:rsid w:val="00AF0D37"/>
    <w:rsid w:val="00B0400C"/>
    <w:rsid w:val="00B534B9"/>
    <w:rsid w:val="00BA3A9C"/>
    <w:rsid w:val="00BA3C1C"/>
    <w:rsid w:val="00BC3D1A"/>
    <w:rsid w:val="00BD008F"/>
    <w:rsid w:val="00C07E1D"/>
    <w:rsid w:val="00C546F6"/>
    <w:rsid w:val="00CD201E"/>
    <w:rsid w:val="00D415D1"/>
    <w:rsid w:val="00D7332C"/>
    <w:rsid w:val="00DA25C6"/>
    <w:rsid w:val="00DA37CE"/>
    <w:rsid w:val="00E42FDD"/>
    <w:rsid w:val="00E65351"/>
    <w:rsid w:val="00E7046C"/>
    <w:rsid w:val="00E73F43"/>
    <w:rsid w:val="00E74871"/>
    <w:rsid w:val="00E84FCE"/>
    <w:rsid w:val="00E91ACC"/>
    <w:rsid w:val="00F16676"/>
    <w:rsid w:val="00F200A9"/>
    <w:rsid w:val="00F84E75"/>
    <w:rsid w:val="00FA1A1D"/>
    <w:rsid w:val="00FC0FCA"/>
    <w:rsid w:val="00FE50AE"/>
    <w:rsid w:val="00FF5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31F20"/>
        <w:sz w:val="24"/>
        <w:szCs w:val="24"/>
        <w:lang w:val="en-US" w:eastAsia="en-US" w:bidi="ne-NP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FCE"/>
    <w:rPr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F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B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F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paragraph" w:customStyle="1" w:styleId="Default">
    <w:name w:val="Default"/>
    <w:rsid w:val="00E84FCE"/>
    <w:pPr>
      <w:autoSpaceDE w:val="0"/>
      <w:autoSpaceDN w:val="0"/>
      <w:adjustRightInd w:val="0"/>
      <w:spacing w:after="0" w:line="240" w:lineRule="auto"/>
    </w:pPr>
    <w:rPr>
      <w:color w:val="000000"/>
      <w:lang w:bidi="ar-SA"/>
    </w:rPr>
  </w:style>
  <w:style w:type="character" w:styleId="Emphasis">
    <w:name w:val="Emphasis"/>
    <w:basedOn w:val="DefaultParagraphFont"/>
    <w:uiPriority w:val="20"/>
    <w:qFormat/>
    <w:rsid w:val="000A44C1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B0400C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400C"/>
    <w:rPr>
      <w:noProof/>
      <w:szCs w:val="22"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B0400C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0400C"/>
    <w:rPr>
      <w:noProof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B0400C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D407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20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83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3C74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5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0AE"/>
    <w:rPr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E5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0AE"/>
    <w:rPr>
      <w:szCs w:val="22"/>
      <w:lang w:bidi="ar-SA"/>
    </w:rPr>
  </w:style>
  <w:style w:type="character" w:styleId="Strong">
    <w:name w:val="Strong"/>
    <w:basedOn w:val="DefaultParagraphFont"/>
    <w:uiPriority w:val="22"/>
    <w:qFormat/>
    <w:rsid w:val="00CD20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4677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</cp:lastModifiedBy>
  <cp:revision>22</cp:revision>
  <dcterms:created xsi:type="dcterms:W3CDTF">2021-03-14T03:09:00Z</dcterms:created>
  <dcterms:modified xsi:type="dcterms:W3CDTF">2023-06-13T09:29:00Z</dcterms:modified>
</cp:coreProperties>
</file>