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69D895" w14:textId="34A35746" w:rsidR="00671292" w:rsidRDefault="00671292"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bCs/>
          <w:color w:val="202124"/>
          <w:sz w:val="24"/>
          <w:szCs w:val="24"/>
          <w:lang w:val="en" w:eastAsia="fr-FR"/>
        </w:rPr>
      </w:pPr>
      <w:r w:rsidRPr="00671292">
        <w:rPr>
          <w:rFonts w:eastAsia="Times New Roman" w:cs="Courier New"/>
          <w:b/>
          <w:bCs/>
          <w:color w:val="202124"/>
          <w:sz w:val="24"/>
          <w:szCs w:val="24"/>
          <w:lang w:val="en" w:eastAsia="fr-FR"/>
        </w:rPr>
        <w:t xml:space="preserve">Hemoglobin O ARAB: 31 cases of fortuitous discovery during HbA1c assay: Experience </w:t>
      </w:r>
      <w:proofErr w:type="gramStart"/>
      <w:r w:rsidRPr="00671292">
        <w:rPr>
          <w:rFonts w:eastAsia="Times New Roman" w:cs="Courier New"/>
          <w:b/>
          <w:bCs/>
          <w:color w:val="202124"/>
          <w:sz w:val="24"/>
          <w:szCs w:val="24"/>
          <w:lang w:val="en" w:eastAsia="fr-FR"/>
        </w:rPr>
        <w:t>of  Biochemistry</w:t>
      </w:r>
      <w:proofErr w:type="gramEnd"/>
      <w:r w:rsidRPr="00671292">
        <w:rPr>
          <w:rFonts w:eastAsia="Times New Roman" w:cs="Courier New"/>
          <w:b/>
          <w:bCs/>
          <w:color w:val="202124"/>
          <w:sz w:val="24"/>
          <w:szCs w:val="24"/>
          <w:lang w:val="en" w:eastAsia="fr-FR"/>
        </w:rPr>
        <w:t xml:space="preserve"> Department</w:t>
      </w:r>
      <w:r w:rsidRPr="00671292">
        <w:rPr>
          <w:rFonts w:eastAsia="Times New Roman" w:cs="Courier New"/>
          <w:b/>
          <w:bCs/>
          <w:color w:val="202124"/>
          <w:sz w:val="24"/>
          <w:szCs w:val="24"/>
          <w:lang w:val="en" w:eastAsia="fr-FR"/>
        </w:rPr>
        <w:t>,</w:t>
      </w:r>
      <w:r w:rsidRPr="00671292">
        <w:rPr>
          <w:rFonts w:eastAsia="Times New Roman" w:cs="Courier New"/>
          <w:b/>
          <w:bCs/>
          <w:color w:val="202124"/>
          <w:sz w:val="24"/>
          <w:szCs w:val="24"/>
          <w:lang w:val="en" w:eastAsia="fr-FR"/>
        </w:rPr>
        <w:t xml:space="preserve"> </w:t>
      </w:r>
      <w:r w:rsidR="008E20FD" w:rsidRPr="00671292">
        <w:rPr>
          <w:rFonts w:eastAsia="Times New Roman" w:cs="Courier New"/>
          <w:b/>
          <w:bCs/>
          <w:color w:val="202124"/>
          <w:sz w:val="24"/>
          <w:szCs w:val="24"/>
          <w:lang w:val="en" w:eastAsia="fr-FR"/>
        </w:rPr>
        <w:t>Mohamed</w:t>
      </w:r>
      <w:r w:rsidRPr="00671292">
        <w:rPr>
          <w:rFonts w:eastAsia="Times New Roman" w:cs="Courier New"/>
          <w:b/>
          <w:bCs/>
          <w:color w:val="202124"/>
          <w:sz w:val="24"/>
          <w:szCs w:val="24"/>
          <w:lang w:val="en" w:eastAsia="fr-FR"/>
        </w:rPr>
        <w:t xml:space="preserve"> V</w:t>
      </w:r>
      <w:r w:rsidRPr="00671292">
        <w:rPr>
          <w:rFonts w:eastAsia="Times New Roman" w:cs="Courier New"/>
          <w:b/>
          <w:bCs/>
          <w:color w:val="202124"/>
          <w:sz w:val="24"/>
          <w:szCs w:val="24"/>
          <w:lang w:val="en" w:eastAsia="fr-FR"/>
        </w:rPr>
        <w:t xml:space="preserve"> Military Hospital. Rabat</w:t>
      </w:r>
      <w:r w:rsidRPr="00671292">
        <w:rPr>
          <w:rFonts w:eastAsia="Times New Roman" w:cs="Courier New"/>
          <w:b/>
          <w:bCs/>
          <w:color w:val="202124"/>
          <w:sz w:val="24"/>
          <w:szCs w:val="24"/>
          <w:lang w:val="en" w:eastAsia="fr-FR"/>
        </w:rPr>
        <w:t xml:space="preserve"> over a period of 6 years.</w:t>
      </w:r>
    </w:p>
    <w:p w14:paraId="7957D950" w14:textId="77777777" w:rsidR="008E20FD" w:rsidRDefault="008E20FD"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b/>
          <w:bCs/>
          <w:color w:val="202124"/>
          <w:sz w:val="24"/>
          <w:szCs w:val="24"/>
          <w:lang w:val="en" w:eastAsia="fr-FR"/>
        </w:rPr>
      </w:pPr>
    </w:p>
    <w:p w14:paraId="27A6BC39" w14:textId="46C54B41" w:rsidR="00671292" w:rsidRPr="00671292" w:rsidRDefault="00671292"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02124"/>
          <w:lang w:val="en-US" w:eastAsia="fr-FR"/>
        </w:rPr>
      </w:pPr>
      <w:r w:rsidRPr="00671292">
        <w:rPr>
          <w:rFonts w:eastAsia="Times New Roman" w:cs="Courier New"/>
          <w:b/>
          <w:bCs/>
          <w:color w:val="202124"/>
          <w:lang w:val="en" w:eastAsia="fr-FR"/>
        </w:rPr>
        <w:t>Authors:</w:t>
      </w:r>
      <w:r w:rsidRPr="00671292">
        <w:rPr>
          <w:rFonts w:eastAsia="Times New Roman" w:cs="Courier New"/>
          <w:color w:val="202124"/>
          <w:lang w:val="en" w:eastAsia="fr-FR"/>
        </w:rPr>
        <w:t xml:space="preserve"> </w:t>
      </w:r>
      <w:r w:rsidRPr="008E20FD">
        <w:rPr>
          <w:rFonts w:ascii="Times New Roman" w:hAnsi="Times New Roman" w:cs="Times New Roman"/>
          <w:b/>
          <w:bCs/>
          <w:u w:val="single"/>
          <w:lang w:val="en-US"/>
        </w:rPr>
        <w:t>El Khayat Y</w:t>
      </w:r>
      <w:r w:rsidRPr="008E20FD">
        <w:rPr>
          <w:rFonts w:ascii="Times New Roman" w:hAnsi="Times New Roman" w:cs="Times New Roman"/>
          <w:b/>
          <w:bCs/>
          <w:u w:val="single"/>
          <w:vertAlign w:val="superscript"/>
          <w:lang w:val="en-US"/>
        </w:rPr>
        <w:t>1,</w:t>
      </w:r>
      <w:r w:rsidRPr="008E20FD">
        <w:rPr>
          <w:rFonts w:ascii="Times New Roman" w:hAnsi="Times New Roman" w:cs="Times New Roman"/>
          <w:vertAlign w:val="superscript"/>
          <w:lang w:val="en-US"/>
        </w:rPr>
        <w:t xml:space="preserve"> 2</w:t>
      </w:r>
      <w:r w:rsidRPr="008E20FD">
        <w:rPr>
          <w:rFonts w:ascii="Times New Roman" w:hAnsi="Times New Roman" w:cs="Times New Roman"/>
          <w:lang w:val="en-US"/>
        </w:rPr>
        <w:t xml:space="preserve">, El </w:t>
      </w:r>
      <w:proofErr w:type="spellStart"/>
      <w:r w:rsidRPr="008E20FD">
        <w:rPr>
          <w:rFonts w:ascii="Times New Roman" w:hAnsi="Times New Roman" w:cs="Times New Roman"/>
          <w:lang w:val="en-US"/>
        </w:rPr>
        <w:t>Housni</w:t>
      </w:r>
      <w:proofErr w:type="spellEnd"/>
      <w:r w:rsidRPr="008E20FD">
        <w:rPr>
          <w:rFonts w:ascii="Times New Roman" w:hAnsi="Times New Roman" w:cs="Times New Roman"/>
          <w:lang w:val="en-US"/>
        </w:rPr>
        <w:t xml:space="preserve"> A </w:t>
      </w:r>
      <w:r w:rsidRPr="008E20FD">
        <w:rPr>
          <w:rFonts w:ascii="Times New Roman" w:hAnsi="Times New Roman" w:cs="Times New Roman"/>
          <w:vertAlign w:val="superscript"/>
          <w:lang w:val="en-US"/>
        </w:rPr>
        <w:t>1,2</w:t>
      </w:r>
      <w:r w:rsidRPr="008E20FD">
        <w:rPr>
          <w:rFonts w:ascii="Times New Roman" w:hAnsi="Times New Roman" w:cs="Times New Roman"/>
          <w:lang w:val="en-US"/>
        </w:rPr>
        <w:t xml:space="preserve">, </w:t>
      </w:r>
      <w:proofErr w:type="spellStart"/>
      <w:r w:rsidRPr="008E20FD">
        <w:rPr>
          <w:rFonts w:ascii="Times New Roman" w:hAnsi="Times New Roman" w:cs="Times New Roman"/>
          <w:lang w:val="en-US"/>
        </w:rPr>
        <w:t>Biaz</w:t>
      </w:r>
      <w:proofErr w:type="spellEnd"/>
      <w:r w:rsidRPr="008E20FD">
        <w:rPr>
          <w:rFonts w:ascii="Times New Roman" w:hAnsi="Times New Roman" w:cs="Times New Roman"/>
          <w:lang w:val="en-US"/>
        </w:rPr>
        <w:t xml:space="preserve"> A</w:t>
      </w:r>
      <w:r w:rsidRPr="008E20FD">
        <w:rPr>
          <w:rFonts w:ascii="Times New Roman" w:hAnsi="Times New Roman" w:cs="Times New Roman"/>
          <w:vertAlign w:val="superscript"/>
          <w:lang w:val="en-US"/>
        </w:rPr>
        <w:t>1, 2</w:t>
      </w:r>
      <w:r w:rsidRPr="008E20FD">
        <w:rPr>
          <w:rFonts w:ascii="Times New Roman" w:hAnsi="Times New Roman" w:cs="Times New Roman"/>
          <w:lang w:val="en-US"/>
        </w:rPr>
        <w:t xml:space="preserve">, </w:t>
      </w:r>
      <w:proofErr w:type="spellStart"/>
      <w:r w:rsidRPr="008E20FD">
        <w:rPr>
          <w:rFonts w:ascii="Times New Roman" w:hAnsi="Times New Roman" w:cs="Times New Roman"/>
          <w:lang w:val="en-US"/>
        </w:rPr>
        <w:t>Elmachtani</w:t>
      </w:r>
      <w:proofErr w:type="spellEnd"/>
      <w:r w:rsidRPr="008E20FD">
        <w:rPr>
          <w:rFonts w:ascii="Times New Roman" w:hAnsi="Times New Roman" w:cs="Times New Roman"/>
          <w:lang w:val="en-US"/>
        </w:rPr>
        <w:t xml:space="preserve"> </w:t>
      </w:r>
      <w:proofErr w:type="spellStart"/>
      <w:r w:rsidRPr="008E20FD">
        <w:rPr>
          <w:rFonts w:ascii="Times New Roman" w:hAnsi="Times New Roman" w:cs="Times New Roman"/>
          <w:lang w:val="en-US"/>
        </w:rPr>
        <w:t>idrissi</w:t>
      </w:r>
      <w:proofErr w:type="spellEnd"/>
      <w:r w:rsidRPr="008E20FD">
        <w:rPr>
          <w:rFonts w:ascii="Times New Roman" w:hAnsi="Times New Roman" w:cs="Times New Roman"/>
          <w:lang w:val="en-US"/>
        </w:rPr>
        <w:t xml:space="preserve"> S</w:t>
      </w:r>
      <w:r w:rsidRPr="008E20FD">
        <w:rPr>
          <w:rFonts w:ascii="Times New Roman" w:hAnsi="Times New Roman" w:cs="Times New Roman"/>
          <w:vertAlign w:val="superscript"/>
          <w:lang w:val="en-US"/>
        </w:rPr>
        <w:t>1, 2</w:t>
      </w:r>
      <w:r w:rsidRPr="008E20FD">
        <w:rPr>
          <w:rFonts w:ascii="Times New Roman" w:hAnsi="Times New Roman" w:cs="Times New Roman"/>
          <w:lang w:val="en-US"/>
        </w:rPr>
        <w:t xml:space="preserve">, </w:t>
      </w:r>
      <w:proofErr w:type="spellStart"/>
      <w:r w:rsidRPr="008E20FD">
        <w:rPr>
          <w:rFonts w:ascii="Times New Roman" w:hAnsi="Times New Roman" w:cs="Times New Roman"/>
          <w:lang w:val="en-US"/>
        </w:rPr>
        <w:t>Bouhsain</w:t>
      </w:r>
      <w:proofErr w:type="spellEnd"/>
      <w:r w:rsidRPr="008E20FD">
        <w:rPr>
          <w:rFonts w:ascii="Times New Roman" w:hAnsi="Times New Roman" w:cs="Times New Roman"/>
          <w:lang w:val="en-US"/>
        </w:rPr>
        <w:t xml:space="preserve"> S</w:t>
      </w:r>
      <w:r w:rsidRPr="008E20FD">
        <w:rPr>
          <w:rFonts w:ascii="Times New Roman" w:hAnsi="Times New Roman" w:cs="Times New Roman"/>
          <w:vertAlign w:val="superscript"/>
          <w:lang w:val="en-US"/>
        </w:rPr>
        <w:t xml:space="preserve"> 1, 2</w:t>
      </w:r>
      <w:r w:rsidRPr="008E20FD">
        <w:rPr>
          <w:rFonts w:ascii="Times New Roman" w:hAnsi="Times New Roman" w:cs="Times New Roman"/>
          <w:lang w:val="en-US"/>
        </w:rPr>
        <w:t xml:space="preserve">, </w:t>
      </w:r>
      <w:proofErr w:type="spellStart"/>
      <w:r w:rsidRPr="008E20FD">
        <w:rPr>
          <w:rFonts w:ascii="Times New Roman" w:hAnsi="Times New Roman" w:cs="Times New Roman"/>
          <w:lang w:val="en-US"/>
        </w:rPr>
        <w:t>Dami</w:t>
      </w:r>
      <w:proofErr w:type="spellEnd"/>
      <w:r w:rsidRPr="008E20FD">
        <w:rPr>
          <w:rFonts w:ascii="Times New Roman" w:hAnsi="Times New Roman" w:cs="Times New Roman"/>
          <w:lang w:val="en-US"/>
        </w:rPr>
        <w:t xml:space="preserve"> A</w:t>
      </w:r>
      <w:r w:rsidRPr="008E20FD">
        <w:rPr>
          <w:rFonts w:ascii="Times New Roman" w:hAnsi="Times New Roman" w:cs="Times New Roman"/>
          <w:vertAlign w:val="superscript"/>
          <w:lang w:val="en-US"/>
        </w:rPr>
        <w:t>1, 2</w:t>
      </w:r>
    </w:p>
    <w:p w14:paraId="428FA65B" w14:textId="4B73DB5A" w:rsidR="00671292" w:rsidRPr="00671292" w:rsidRDefault="00671292"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i/>
          <w:iCs/>
          <w:color w:val="202124"/>
          <w:lang w:val="en" w:eastAsia="fr-FR"/>
        </w:rPr>
      </w:pPr>
      <w:r w:rsidRPr="008E20FD">
        <w:rPr>
          <w:rFonts w:cs="Times New Roman"/>
          <w:i/>
          <w:iCs/>
          <w:vertAlign w:val="superscript"/>
          <w:lang w:val="en-US"/>
        </w:rPr>
        <w:t>1</w:t>
      </w:r>
      <w:r w:rsidRPr="00671292">
        <w:rPr>
          <w:rFonts w:eastAsia="Times New Roman" w:cs="Courier New"/>
          <w:i/>
          <w:iCs/>
          <w:color w:val="202124"/>
          <w:lang w:val="en" w:eastAsia="fr-FR"/>
        </w:rPr>
        <w:t>Biochemistry-Toxicology Department, Mohammed V Military Training Hospital, Rabat, Morocco.</w:t>
      </w:r>
    </w:p>
    <w:p w14:paraId="1BEDCE1F" w14:textId="352BBE73" w:rsidR="00671292" w:rsidRPr="00671292" w:rsidRDefault="00671292"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i/>
          <w:iCs/>
          <w:color w:val="202124"/>
          <w:lang w:val="en" w:eastAsia="fr-FR"/>
        </w:rPr>
      </w:pPr>
      <w:r w:rsidRPr="008E20FD">
        <w:rPr>
          <w:rFonts w:cs="Times New Roman"/>
          <w:i/>
          <w:iCs/>
          <w:vertAlign w:val="superscript"/>
          <w:lang w:val="en-US"/>
        </w:rPr>
        <w:t>2</w:t>
      </w:r>
      <w:r w:rsidRPr="00671292">
        <w:rPr>
          <w:rFonts w:eastAsia="Times New Roman" w:cs="Courier New"/>
          <w:i/>
          <w:iCs/>
          <w:color w:val="202124"/>
          <w:lang w:val="en" w:eastAsia="fr-FR"/>
        </w:rPr>
        <w:t>Faculty of Medicine and Pharmacy, Mohammed V University of Rabat, Morocco.</w:t>
      </w:r>
    </w:p>
    <w:p w14:paraId="0D0945AB" w14:textId="77777777" w:rsidR="00671292" w:rsidRPr="00671292" w:rsidRDefault="00671292"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02124"/>
          <w:sz w:val="24"/>
          <w:szCs w:val="24"/>
          <w:lang w:val="en" w:eastAsia="fr-FR"/>
        </w:rPr>
      </w:pPr>
    </w:p>
    <w:p w14:paraId="37C272C2" w14:textId="77777777" w:rsidR="00671292" w:rsidRPr="00671292" w:rsidRDefault="00671292"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02124"/>
          <w:sz w:val="24"/>
          <w:szCs w:val="24"/>
          <w:lang w:val="en" w:eastAsia="fr-FR"/>
        </w:rPr>
      </w:pPr>
      <w:r w:rsidRPr="00671292">
        <w:rPr>
          <w:rFonts w:eastAsia="Times New Roman" w:cs="Courier New"/>
          <w:b/>
          <w:bCs/>
          <w:color w:val="202124"/>
          <w:sz w:val="24"/>
          <w:szCs w:val="24"/>
          <w:lang w:val="en" w:eastAsia="fr-FR"/>
        </w:rPr>
        <w:t>Introduction:</w:t>
      </w:r>
      <w:r w:rsidRPr="00671292">
        <w:rPr>
          <w:rFonts w:eastAsia="Times New Roman" w:cs="Courier New"/>
          <w:color w:val="202124"/>
          <w:sz w:val="24"/>
          <w:szCs w:val="24"/>
          <w:lang w:val="en" w:eastAsia="fr-FR"/>
        </w:rPr>
        <w:t xml:space="preserve"> Hemoglobin O Arab is a rare variant of hemoglobin with a structural mutation of the β chain where the glutamic acid at position 121 is replaced by a lysine. The use of high-performance techniques for separating the different hemoglobin fractions during the HbA1c assay allows the detection of this variant. The diagnosis of certainty is provided by the molecular study of globin genes.</w:t>
      </w:r>
    </w:p>
    <w:p w14:paraId="39B95AD0" w14:textId="77777777" w:rsidR="00671292" w:rsidRPr="00671292" w:rsidRDefault="00671292" w:rsidP="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Courier New"/>
          <w:color w:val="202124"/>
          <w:sz w:val="24"/>
          <w:szCs w:val="24"/>
          <w:lang w:val="en-US" w:eastAsia="fr-FR"/>
        </w:rPr>
      </w:pPr>
      <w:r w:rsidRPr="00671292">
        <w:rPr>
          <w:rFonts w:eastAsia="Times New Roman" w:cs="Courier New"/>
          <w:color w:val="202124"/>
          <w:sz w:val="24"/>
          <w:szCs w:val="24"/>
          <w:lang w:val="en" w:eastAsia="fr-FR"/>
        </w:rPr>
        <w:t>This work aims to highlight the interest of separation methods, namely chromatographic and electrophoretic techniques, in the detection of this variant because of its interference on the result of the HbA1c assay.</w:t>
      </w:r>
    </w:p>
    <w:p w14:paraId="2D704F24" w14:textId="65F0D107" w:rsidR="00671292" w:rsidRPr="00671292" w:rsidRDefault="00671292" w:rsidP="00671292">
      <w:pPr>
        <w:pStyle w:val="PrformatHTML"/>
        <w:jc w:val="both"/>
        <w:rPr>
          <w:rStyle w:val="y2iqfc"/>
          <w:rFonts w:asciiTheme="minorHAnsi" w:hAnsiTheme="minorHAnsi"/>
          <w:color w:val="202124"/>
          <w:sz w:val="24"/>
          <w:szCs w:val="24"/>
          <w:lang w:val="en"/>
        </w:rPr>
      </w:pPr>
      <w:r w:rsidRPr="00671292">
        <w:rPr>
          <w:rStyle w:val="y2iqfc"/>
          <w:rFonts w:asciiTheme="minorHAnsi" w:hAnsiTheme="minorHAnsi"/>
          <w:b/>
          <w:bCs/>
          <w:color w:val="202124"/>
          <w:sz w:val="24"/>
          <w:szCs w:val="24"/>
          <w:lang w:val="en"/>
        </w:rPr>
        <w:t>Patients and Methods:</w:t>
      </w:r>
      <w:r w:rsidRPr="00671292">
        <w:rPr>
          <w:rStyle w:val="y2iqfc"/>
          <w:rFonts w:asciiTheme="minorHAnsi" w:hAnsiTheme="minorHAnsi"/>
          <w:color w:val="202124"/>
          <w:sz w:val="24"/>
          <w:szCs w:val="24"/>
          <w:lang w:val="en"/>
        </w:rPr>
        <w:t xml:space="preserve"> This is a retrospective study carried out in the Biochemistry-Toxicology department of the HMIMV in Rabat over a period of 06 years between January 2016 and January 2022. The HbA1c assay was carried out on the ADAMS HA-8180V ARKRAY</w:t>
      </w:r>
      <w:proofErr w:type="gramStart"/>
      <w:r w:rsidRPr="00671292">
        <w:rPr>
          <w:rStyle w:val="y2iqfc"/>
          <w:rFonts w:asciiTheme="minorHAnsi" w:hAnsiTheme="minorHAnsi"/>
          <w:color w:val="202124"/>
          <w:sz w:val="24"/>
          <w:szCs w:val="24"/>
          <w:lang w:val="en"/>
        </w:rPr>
        <w:t>®  using</w:t>
      </w:r>
      <w:proofErr w:type="gramEnd"/>
      <w:r w:rsidRPr="00671292">
        <w:rPr>
          <w:rStyle w:val="y2iqfc"/>
          <w:rFonts w:asciiTheme="minorHAnsi" w:hAnsiTheme="minorHAnsi"/>
          <w:color w:val="202124"/>
          <w:sz w:val="24"/>
          <w:szCs w:val="24"/>
          <w:lang w:val="en"/>
        </w:rPr>
        <w:t xml:space="preserve"> reverse phase cation exchange HPLC technique. Chromatograms that show a supernumerary peak identified as hemoglobin variant C require hemoglobin electrophoresis at alkaline pH on </w:t>
      </w:r>
      <w:proofErr w:type="spellStart"/>
      <w:r w:rsidRPr="00671292">
        <w:rPr>
          <w:rStyle w:val="y2iqfc"/>
          <w:rFonts w:asciiTheme="minorHAnsi" w:hAnsiTheme="minorHAnsi"/>
          <w:color w:val="202124"/>
          <w:sz w:val="24"/>
          <w:szCs w:val="24"/>
          <w:lang w:val="en"/>
        </w:rPr>
        <w:t>Capillarys</w:t>
      </w:r>
      <w:proofErr w:type="spellEnd"/>
      <w:r w:rsidRPr="00671292">
        <w:rPr>
          <w:rStyle w:val="y2iqfc"/>
          <w:rFonts w:asciiTheme="minorHAnsi" w:hAnsiTheme="minorHAnsi"/>
          <w:color w:val="202124"/>
          <w:sz w:val="24"/>
          <w:szCs w:val="24"/>
          <w:lang w:val="en"/>
        </w:rPr>
        <w:t xml:space="preserve">® </w:t>
      </w:r>
      <w:proofErr w:type="spellStart"/>
      <w:r w:rsidRPr="00671292">
        <w:rPr>
          <w:rStyle w:val="y2iqfc"/>
          <w:rFonts w:asciiTheme="minorHAnsi" w:hAnsiTheme="minorHAnsi"/>
          <w:color w:val="202124"/>
          <w:sz w:val="24"/>
          <w:szCs w:val="24"/>
          <w:lang w:val="en"/>
        </w:rPr>
        <w:t>Sebia</w:t>
      </w:r>
      <w:proofErr w:type="spellEnd"/>
      <w:r w:rsidRPr="00671292">
        <w:rPr>
          <w:rStyle w:val="y2iqfc"/>
          <w:rFonts w:asciiTheme="minorHAnsi" w:hAnsiTheme="minorHAnsi"/>
          <w:color w:val="202124"/>
          <w:sz w:val="24"/>
          <w:szCs w:val="24"/>
          <w:lang w:val="en"/>
        </w:rPr>
        <w:t xml:space="preserve">® and agarose gel electrophoresis at acid pH on </w:t>
      </w:r>
      <w:proofErr w:type="spellStart"/>
      <w:r w:rsidRPr="00671292">
        <w:rPr>
          <w:rStyle w:val="y2iqfc"/>
          <w:rFonts w:asciiTheme="minorHAnsi" w:hAnsiTheme="minorHAnsi"/>
          <w:color w:val="202124"/>
          <w:sz w:val="24"/>
          <w:szCs w:val="24"/>
          <w:lang w:val="en"/>
        </w:rPr>
        <w:t>Hydrasys</w:t>
      </w:r>
      <w:proofErr w:type="spellEnd"/>
      <w:r w:rsidRPr="00671292">
        <w:rPr>
          <w:rStyle w:val="y2iqfc"/>
          <w:rFonts w:asciiTheme="minorHAnsi" w:hAnsiTheme="minorHAnsi"/>
          <w:color w:val="202124"/>
          <w:sz w:val="24"/>
          <w:szCs w:val="24"/>
          <w:lang w:val="en"/>
        </w:rPr>
        <w:t xml:space="preserve">® </w:t>
      </w:r>
      <w:proofErr w:type="spellStart"/>
      <w:r w:rsidRPr="00671292">
        <w:rPr>
          <w:rStyle w:val="y2iqfc"/>
          <w:rFonts w:asciiTheme="minorHAnsi" w:hAnsiTheme="minorHAnsi"/>
          <w:color w:val="202124"/>
          <w:sz w:val="24"/>
          <w:szCs w:val="24"/>
          <w:lang w:val="en"/>
        </w:rPr>
        <w:t>Sebia</w:t>
      </w:r>
      <w:proofErr w:type="spellEnd"/>
      <w:r w:rsidRPr="00671292">
        <w:rPr>
          <w:rStyle w:val="y2iqfc"/>
          <w:rFonts w:asciiTheme="minorHAnsi" w:hAnsiTheme="minorHAnsi"/>
          <w:color w:val="202124"/>
          <w:sz w:val="24"/>
          <w:szCs w:val="24"/>
          <w:lang w:val="en"/>
        </w:rPr>
        <w:t>®, in order to separate the C variant from the O-Arab variant to guide the diagnosis.</w:t>
      </w:r>
    </w:p>
    <w:p w14:paraId="4898F43D" w14:textId="77777777" w:rsidR="00671292" w:rsidRPr="00671292" w:rsidRDefault="00671292" w:rsidP="00671292">
      <w:pPr>
        <w:pStyle w:val="PrformatHTML"/>
        <w:rPr>
          <w:rStyle w:val="y2iqfc"/>
          <w:rFonts w:asciiTheme="minorHAnsi" w:hAnsiTheme="minorHAnsi"/>
          <w:color w:val="202124"/>
          <w:sz w:val="24"/>
          <w:szCs w:val="24"/>
          <w:lang w:val="en"/>
        </w:rPr>
      </w:pPr>
    </w:p>
    <w:p w14:paraId="2EDEB209" w14:textId="6B9ACE6D" w:rsidR="00671292" w:rsidRPr="00671292" w:rsidRDefault="00671292" w:rsidP="00671292">
      <w:pPr>
        <w:pStyle w:val="PrformatHTML"/>
        <w:rPr>
          <w:rFonts w:asciiTheme="minorHAnsi" w:hAnsiTheme="minorHAnsi"/>
          <w:color w:val="202124"/>
          <w:sz w:val="24"/>
          <w:szCs w:val="24"/>
          <w:lang w:val="en-US"/>
        </w:rPr>
      </w:pPr>
      <w:r w:rsidRPr="00671292">
        <w:rPr>
          <w:rStyle w:val="y2iqfc"/>
          <w:rFonts w:asciiTheme="minorHAnsi" w:hAnsiTheme="minorHAnsi"/>
          <w:b/>
          <w:bCs/>
          <w:color w:val="202124"/>
          <w:sz w:val="24"/>
          <w:szCs w:val="24"/>
          <w:lang w:val="en"/>
        </w:rPr>
        <w:t>Results</w:t>
      </w:r>
      <w:r w:rsidRPr="00671292">
        <w:rPr>
          <w:rStyle w:val="y2iqfc"/>
          <w:rFonts w:asciiTheme="minorHAnsi" w:hAnsiTheme="minorHAnsi"/>
          <w:color w:val="202124"/>
          <w:sz w:val="24"/>
          <w:szCs w:val="24"/>
          <w:lang w:val="en"/>
        </w:rPr>
        <w:t xml:space="preserve">: Among the 31 patients who present an Hb O-Arab variant in the heterozygous state, there are 12 men (39%) and 19 women (61%) with a sex ratio of 0.65. The average age was 57 years old. The HbA1c level was between 4.8% and 10.5% with an average of 6.5%. Electrophoresis at alkaline pH in </w:t>
      </w:r>
      <w:proofErr w:type="gramStart"/>
      <w:r>
        <w:rPr>
          <w:rStyle w:val="y2iqfc"/>
          <w:rFonts w:asciiTheme="minorHAnsi" w:hAnsiTheme="minorHAnsi"/>
          <w:color w:val="202124"/>
          <w:sz w:val="24"/>
          <w:szCs w:val="24"/>
          <w:lang w:val="en"/>
        </w:rPr>
        <w:t>t</w:t>
      </w:r>
      <w:r w:rsidRPr="00671292">
        <w:rPr>
          <w:rStyle w:val="y2iqfc"/>
          <w:rFonts w:asciiTheme="minorHAnsi" w:hAnsiTheme="minorHAnsi"/>
          <w:color w:val="202124"/>
          <w:sz w:val="24"/>
          <w:szCs w:val="24"/>
          <w:lang w:val="en"/>
        </w:rPr>
        <w:t>his patients</w:t>
      </w:r>
      <w:proofErr w:type="gramEnd"/>
      <w:r w:rsidRPr="00671292">
        <w:rPr>
          <w:rStyle w:val="y2iqfc"/>
          <w:rFonts w:asciiTheme="minorHAnsi" w:hAnsiTheme="minorHAnsi"/>
          <w:color w:val="202124"/>
          <w:sz w:val="24"/>
          <w:szCs w:val="24"/>
          <w:lang w:val="en"/>
        </w:rPr>
        <w:t xml:space="preserve"> revealed the presence of a variant migrating in the Hb A2 zone suspecting the variant of Hb O-Arab compared to Hb C which co-migrates with Hb A2. 'Hb A2 on the cathode side.</w:t>
      </w:r>
    </w:p>
    <w:p w14:paraId="6F7069D8" w14:textId="77777777" w:rsidR="00671292" w:rsidRPr="00671292" w:rsidRDefault="00671292" w:rsidP="00671292">
      <w:pPr>
        <w:pStyle w:val="PrformatHTML"/>
        <w:rPr>
          <w:rStyle w:val="y2iqfc"/>
          <w:rFonts w:asciiTheme="minorHAnsi" w:hAnsiTheme="minorHAnsi"/>
          <w:color w:val="202124"/>
          <w:sz w:val="24"/>
          <w:szCs w:val="24"/>
          <w:lang w:val="en"/>
        </w:rPr>
      </w:pPr>
      <w:r w:rsidRPr="00671292">
        <w:rPr>
          <w:rStyle w:val="y2iqfc"/>
          <w:rFonts w:asciiTheme="minorHAnsi" w:hAnsiTheme="minorHAnsi"/>
          <w:color w:val="202124"/>
          <w:sz w:val="24"/>
          <w:szCs w:val="24"/>
          <w:lang w:val="en"/>
        </w:rPr>
        <w:t>Electrophoresis at acid pH showed the presence of a migrating band between Hb S and Hb A which supports the hypothesis of the presence of Hb O-Arab in the heterozygous state in these patients whereas Hb C has a more cathodic migration.</w:t>
      </w:r>
    </w:p>
    <w:p w14:paraId="46997523" w14:textId="77777777" w:rsidR="00671292" w:rsidRPr="00671292" w:rsidRDefault="00671292" w:rsidP="00671292">
      <w:pPr>
        <w:pStyle w:val="PrformatHTML"/>
        <w:rPr>
          <w:rStyle w:val="y2iqfc"/>
          <w:rFonts w:asciiTheme="minorHAnsi" w:hAnsiTheme="minorHAnsi"/>
          <w:color w:val="202124"/>
          <w:sz w:val="24"/>
          <w:szCs w:val="24"/>
          <w:lang w:val="en"/>
        </w:rPr>
      </w:pPr>
    </w:p>
    <w:p w14:paraId="082F8853" w14:textId="77777777" w:rsidR="00671292" w:rsidRPr="00671292" w:rsidRDefault="00671292" w:rsidP="00671292">
      <w:pPr>
        <w:pStyle w:val="PrformatHTML"/>
        <w:rPr>
          <w:rStyle w:val="y2iqfc"/>
          <w:rFonts w:asciiTheme="minorHAnsi" w:hAnsiTheme="minorHAnsi"/>
          <w:color w:val="202124"/>
          <w:sz w:val="24"/>
          <w:szCs w:val="24"/>
          <w:lang w:val="en"/>
        </w:rPr>
      </w:pPr>
      <w:r w:rsidRPr="00671292">
        <w:rPr>
          <w:rStyle w:val="y2iqfc"/>
          <w:rFonts w:asciiTheme="minorHAnsi" w:hAnsiTheme="minorHAnsi"/>
          <w:b/>
          <w:bCs/>
          <w:color w:val="202124"/>
          <w:sz w:val="24"/>
          <w:szCs w:val="24"/>
          <w:lang w:val="en"/>
        </w:rPr>
        <w:t>Discussion:</w:t>
      </w:r>
      <w:r w:rsidRPr="00671292">
        <w:rPr>
          <w:rStyle w:val="y2iqfc"/>
          <w:rFonts w:asciiTheme="minorHAnsi" w:hAnsiTheme="minorHAnsi"/>
          <w:color w:val="202124"/>
          <w:sz w:val="24"/>
          <w:szCs w:val="24"/>
          <w:lang w:val="en"/>
        </w:rPr>
        <w:t xml:space="preserve"> The fortuitous discovery of the Hb O-Arab variant during the HbA1c assay by high performance liquid chromatography may lead the laboratory to identify it.</w:t>
      </w:r>
    </w:p>
    <w:p w14:paraId="228D8C01" w14:textId="77777777" w:rsidR="00671292" w:rsidRPr="00671292" w:rsidRDefault="00671292" w:rsidP="00671292">
      <w:pPr>
        <w:pStyle w:val="PrformatHTML"/>
        <w:rPr>
          <w:rStyle w:val="y2iqfc"/>
          <w:rFonts w:asciiTheme="minorHAnsi" w:hAnsiTheme="minorHAnsi"/>
          <w:color w:val="202124"/>
          <w:sz w:val="24"/>
          <w:szCs w:val="24"/>
          <w:lang w:val="en"/>
        </w:rPr>
      </w:pPr>
      <w:r w:rsidRPr="00671292">
        <w:rPr>
          <w:rStyle w:val="y2iqfc"/>
          <w:rFonts w:asciiTheme="minorHAnsi" w:hAnsiTheme="minorHAnsi"/>
          <w:color w:val="202124"/>
          <w:sz w:val="24"/>
          <w:szCs w:val="24"/>
          <w:lang w:val="en"/>
        </w:rPr>
        <w:t>This variant must be recognized because of its interference on the results of the HbA1c assay. The joint use of chromatographic and electrophoretic techniques makes it possible to detect and identify this variant. The phenotypic study supported by a conclusion uses the results of these two techniques and erythrocyte parameters.</w:t>
      </w:r>
    </w:p>
    <w:p w14:paraId="2B40D084" w14:textId="77777777" w:rsidR="00671292" w:rsidRPr="00671292" w:rsidRDefault="00671292" w:rsidP="00671292">
      <w:pPr>
        <w:pStyle w:val="PrformatHTML"/>
        <w:rPr>
          <w:rStyle w:val="y2iqfc"/>
          <w:rFonts w:asciiTheme="minorHAnsi" w:hAnsiTheme="minorHAnsi"/>
          <w:color w:val="202124"/>
          <w:sz w:val="24"/>
          <w:szCs w:val="24"/>
          <w:lang w:val="en"/>
        </w:rPr>
      </w:pPr>
    </w:p>
    <w:p w14:paraId="579330C2" w14:textId="3A38DDCE" w:rsidR="008A7485" w:rsidRPr="008E20FD" w:rsidRDefault="00671292" w:rsidP="008E20FD">
      <w:pPr>
        <w:pStyle w:val="PrformatHTML"/>
        <w:rPr>
          <w:rFonts w:asciiTheme="minorHAnsi" w:hAnsiTheme="minorHAnsi"/>
          <w:color w:val="202124"/>
          <w:sz w:val="24"/>
          <w:szCs w:val="24"/>
          <w:lang w:val="en-US"/>
        </w:rPr>
      </w:pPr>
      <w:r w:rsidRPr="00671292">
        <w:rPr>
          <w:rStyle w:val="y2iqfc"/>
          <w:rFonts w:asciiTheme="minorHAnsi" w:hAnsiTheme="minorHAnsi"/>
          <w:b/>
          <w:bCs/>
          <w:color w:val="202124"/>
          <w:sz w:val="24"/>
          <w:szCs w:val="24"/>
          <w:lang w:val="en"/>
        </w:rPr>
        <w:t>Conclusion:</w:t>
      </w:r>
      <w:r w:rsidRPr="00671292">
        <w:rPr>
          <w:rStyle w:val="y2iqfc"/>
          <w:rFonts w:asciiTheme="minorHAnsi" w:hAnsiTheme="minorHAnsi"/>
          <w:color w:val="202124"/>
          <w:sz w:val="24"/>
          <w:szCs w:val="24"/>
          <w:lang w:val="en"/>
        </w:rPr>
        <w:t xml:space="preserve"> HbA1c is a reference marker in the follow-up of diabetic subjects, the presence of a hemoglobin variant can interfere with its result depending on the technique used. It is recommended to report the presence of any abnormal hemoglobin with the HbA1c result for better management of these patients.</w:t>
      </w:r>
    </w:p>
    <w:sectPr w:rsidR="008A7485" w:rsidRPr="008E20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C4C"/>
    <w:rsid w:val="00671292"/>
    <w:rsid w:val="008A7485"/>
    <w:rsid w:val="008E20FD"/>
    <w:rsid w:val="00B829BE"/>
    <w:rsid w:val="00E27E87"/>
    <w:rsid w:val="00EF3EDF"/>
    <w:rsid w:val="00FE6C4C"/>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D6A68"/>
  <w15:chartTrackingRefBased/>
  <w15:docId w15:val="{31B934D9-E9E7-4385-B823-F77D560D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FE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unhideWhenUsed/>
    <w:rsid w:val="006712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671292"/>
    <w:rPr>
      <w:rFonts w:ascii="Courier New" w:eastAsia="Times New Roman" w:hAnsi="Courier New" w:cs="Courier New"/>
      <w:sz w:val="20"/>
      <w:szCs w:val="20"/>
      <w:lang w:eastAsia="fr-FR"/>
    </w:rPr>
  </w:style>
  <w:style w:type="character" w:customStyle="1" w:styleId="y2iqfc">
    <w:name w:val="y2iqfc"/>
    <w:basedOn w:val="Policepardfaut"/>
    <w:rsid w:val="00671292"/>
  </w:style>
  <w:style w:type="character" w:customStyle="1" w:styleId="A7">
    <w:name w:val="A7"/>
    <w:uiPriority w:val="99"/>
    <w:rsid w:val="00671292"/>
    <w:rPr>
      <w:rFonts w:cs="Univers"/>
      <w:color w:val="000000"/>
      <w:sz w:val="18"/>
      <w:szCs w:val="18"/>
    </w:rPr>
  </w:style>
  <w:style w:type="paragraph" w:customStyle="1" w:styleId="Default">
    <w:name w:val="Default"/>
    <w:rsid w:val="00671292"/>
    <w:pPr>
      <w:autoSpaceDE w:val="0"/>
      <w:autoSpaceDN w:val="0"/>
      <w:adjustRightInd w:val="0"/>
      <w:spacing w:after="0" w:line="240" w:lineRule="auto"/>
    </w:pPr>
    <w:rPr>
      <w:rFonts w:ascii="Univers" w:hAnsi="Univers" w:cs="Univers"/>
      <w:color w:val="000000"/>
      <w:sz w:val="24"/>
      <w:szCs w:val="24"/>
    </w:rPr>
  </w:style>
  <w:style w:type="character" w:customStyle="1" w:styleId="A8">
    <w:name w:val="A8"/>
    <w:uiPriority w:val="99"/>
    <w:rsid w:val="00671292"/>
    <w:rPr>
      <w:rFonts w:cs="Univers"/>
      <w:color w:val="000000"/>
      <w:sz w:val="10"/>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907252">
      <w:bodyDiv w:val="1"/>
      <w:marLeft w:val="0"/>
      <w:marRight w:val="0"/>
      <w:marTop w:val="0"/>
      <w:marBottom w:val="0"/>
      <w:divBdr>
        <w:top w:val="none" w:sz="0" w:space="0" w:color="auto"/>
        <w:left w:val="none" w:sz="0" w:space="0" w:color="auto"/>
        <w:bottom w:val="none" w:sz="0" w:space="0" w:color="auto"/>
        <w:right w:val="none" w:sz="0" w:space="0" w:color="auto"/>
      </w:divBdr>
    </w:div>
    <w:div w:id="1363240081">
      <w:bodyDiv w:val="1"/>
      <w:marLeft w:val="0"/>
      <w:marRight w:val="0"/>
      <w:marTop w:val="0"/>
      <w:marBottom w:val="0"/>
      <w:divBdr>
        <w:top w:val="none" w:sz="0" w:space="0" w:color="auto"/>
        <w:left w:val="none" w:sz="0" w:space="0" w:color="auto"/>
        <w:bottom w:val="none" w:sz="0" w:space="0" w:color="auto"/>
        <w:right w:val="none" w:sz="0" w:space="0" w:color="auto"/>
      </w:divBdr>
    </w:div>
    <w:div w:id="209790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492</Words>
  <Characters>2710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youyou</dc:creator>
  <cp:keywords/>
  <dc:description/>
  <cp:lastModifiedBy>youyou</cp:lastModifiedBy>
  <cp:revision>1</cp:revision>
  <dcterms:created xsi:type="dcterms:W3CDTF">2023-05-15T21:00:00Z</dcterms:created>
  <dcterms:modified xsi:type="dcterms:W3CDTF">2023-05-17T06:07:00Z</dcterms:modified>
</cp:coreProperties>
</file>