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bookmarkStart w:id="0" w:name="_GoBack"/>
      <w:bookmarkEnd w:id="0"/>
      <w:r>
        <w:rPr>
          <w:rFonts w:ascii="Times New Roman" w:cs="Times New Roman" w:hAnsi="Times New Roman"/>
          <w:sz w:val="24"/>
          <w:szCs w:val="24"/>
          <w:lang w:val="en-US"/>
        </w:rPr>
        <w:t>Nephrocurative Effect of Flavonoid-Rich Fraction of Irvingia gabonensis Seed Extract against  Acetaminophen-induced Kidney Damage in Mice.</w:t>
      </w:r>
    </w:p>
    <w:p>
      <w:pPr>
        <w:pStyle w:val="style0"/>
        <w:jc w:val="center"/>
        <w:rPr>
          <w:rFonts w:ascii="Times New Roman" w:cs="Times New Roman" w:hAnsi="Times New Roman"/>
          <w:sz w:val="24"/>
          <w:szCs w:val="24"/>
        </w:rPr>
      </w:pPr>
      <w:r>
        <w:rPr>
          <w:rFonts w:ascii="Times New Roman" w:cs="Times New Roman" w:hAnsi="Times New Roman"/>
          <w:sz w:val="24"/>
          <w:szCs w:val="24"/>
          <w:lang w:val="en-US"/>
        </w:rPr>
        <w:t>Madinat Hassan</w:t>
      </w: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 Sunday Zeal Bala</w:t>
      </w:r>
      <w:r>
        <w:rPr>
          <w:rFonts w:ascii="Times New Roman" w:cs="Times New Roman" w:hAnsi="Times New Roman"/>
          <w:sz w:val="24"/>
          <w:szCs w:val="24"/>
          <w:vertAlign w:val="superscript"/>
          <w:lang w:val="en-US"/>
        </w:rPr>
        <w:t>2</w:t>
      </w:r>
      <w:r>
        <w:rPr>
          <w:rFonts w:ascii="Times New Roman" w:cs="Times New Roman" w:hAnsi="Times New Roman"/>
          <w:sz w:val="24"/>
          <w:szCs w:val="24"/>
          <w:lang w:val="en-US"/>
        </w:rPr>
        <w:t>, Jemila Saleh</w:t>
      </w: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  Muhibbat Bolanle Komolafe</w:t>
      </w:r>
      <w:r>
        <w:rPr>
          <w:rFonts w:ascii="Times New Roman" w:cs="Times New Roman" w:hAnsi="Times New Roman"/>
          <w:sz w:val="24"/>
          <w:szCs w:val="24"/>
          <w:vertAlign w:val="superscript"/>
          <w:lang w:val="en-US"/>
        </w:rPr>
        <w:t>1</w:t>
      </w:r>
    </w:p>
    <w:p>
      <w:pPr>
        <w:pStyle w:val="style0"/>
        <w:jc w:val="both"/>
        <w:rPr>
          <w:rFonts w:ascii="Times New Roman" w:cs="Times New Roman" w:hAnsi="Times New Roman"/>
          <w:sz w:val="24"/>
          <w:szCs w:val="24"/>
          <w:lang w:val="en-US"/>
        </w:rPr>
      </w:pPr>
      <w:r>
        <w:rPr>
          <w:rFonts w:ascii="Times New Roman" w:cs="Times New Roman" w:hAnsi="Times New Roman"/>
          <w:sz w:val="24"/>
          <w:szCs w:val="24"/>
          <w:vertAlign w:val="superscript"/>
          <w:lang w:val="en-US"/>
        </w:rPr>
        <w:t>1</w:t>
      </w:r>
      <w:r>
        <w:rPr>
          <w:rFonts w:ascii="Times New Roman" w:cs="Times New Roman" w:hAnsi="Times New Roman"/>
          <w:sz w:val="24"/>
          <w:szCs w:val="24"/>
          <w:lang w:val="en-US"/>
        </w:rPr>
        <w:t>Department of Biology, Faculty of Science,  Airforce Institute of Technology, Nigeria</w:t>
      </w:r>
    </w:p>
    <w:p>
      <w:pPr>
        <w:pStyle w:val="style0"/>
        <w:jc w:val="both"/>
        <w:rPr>
          <w:rFonts w:ascii="Times New Roman" w:cs="Times New Roman" w:hAnsi="Times New Roman"/>
          <w:sz w:val="24"/>
          <w:szCs w:val="24"/>
        </w:rPr>
      </w:pPr>
      <w:r>
        <w:rPr>
          <w:rFonts w:ascii="Times New Roman" w:cs="Times New Roman" w:hAnsi="Times New Roman"/>
          <w:sz w:val="24"/>
          <w:szCs w:val="24"/>
          <w:vertAlign w:val="superscript"/>
          <w:lang w:val="en-US"/>
        </w:rPr>
        <w:t>2</w:t>
      </w:r>
      <w:r>
        <w:rPr>
          <w:rFonts w:ascii="Times New Roman" w:cs="Times New Roman" w:hAnsi="Times New Roman"/>
          <w:sz w:val="24"/>
          <w:szCs w:val="24"/>
          <w:lang w:val="en-US"/>
        </w:rPr>
        <w:t>Department of Biochemistry, Faculty of Basic Medical Science, Bayero University, Kano, Nigeria</w:t>
      </w:r>
    </w:p>
    <w:p>
      <w:pPr>
        <w:pStyle w:val="style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ABSTRACT </w:t>
      </w:r>
    </w:p>
    <w:p>
      <w:pPr>
        <w:pStyle w:val="style0"/>
        <w:jc w:val="both"/>
        <w:rPr>
          <w:rFonts w:ascii="Times New Roman" w:cs="Times New Roman" w:hAnsi="Times New Roman"/>
          <w:sz w:val="24"/>
          <w:szCs w:val="24"/>
          <w:lang w:val="en-US"/>
        </w:rPr>
      </w:pPr>
      <w:r>
        <w:rPr>
          <w:rFonts w:ascii="Times New Roman" w:cs="Times New Roman" w:hAnsi="Times New Roman"/>
          <w:sz w:val="24"/>
          <w:szCs w:val="24"/>
          <w:lang w:val="en-US"/>
        </w:rPr>
        <w:t xml:space="preserve">This study investigated  the  nephrocurative  effect  of  flavonoids-rich  fraction  of  Irvingia  gabonensis  seed  extract  in acetaminophen-induced  kidney  damage  in  mice.  The  total  flavonoids  content  of  the  different  fractions  of  the  extracts were  reported  to  be  higher  in  the  Ethyl  acetate  fraction  with  a  value  of  47.20mg  QE/g  followed  by  Methanol  30.41mg QE/g,  Chloroform  20.10mg  QE/g,  and  Petroleum  ether  with  12.40mg  QE/g.  Further  studies  on  the  flavonoids-rich extract  (Ethyl  acetate  fraction)  revealed  a  significant  difference  (p  &lt;  0.05)  between  the  inhibitory  power  of  the flavonoids-rich  fraction  of  Irvingia  gabonensis  (IG)  seed  extract  and  that  of  Vit.  C.  Accordingly,  the  IC   of  the 50 flavonoids-rich  fraction  of  Irvingia  gabonensis  seed  extract  (47.97µg/ml)  calculated  was  observed  to  be  higher  than that of  Vit. C. standard (25.76µg/ml). Studies on the nephrocurative effect indicate a positive result with significant deference  across  the  group  and  an  ultimate  normalization  of  the  kidney  biomarkers. The  curative  effect  of  the  extract  is assumed  to  be  dose  and  time  depended  on  a  drastic  decrease  in  kidney  biomarkers  after  four  weeks  of  extract administration.  Toxicity  study  of  the  extract  also  revealed  the  extract  to  be  safe  at  ≤ 3000mg/kgbw.  This  study  to  an extent  has  proven  that  Irvingia  gabonensis  seeds  are  a  promising  source  of  alternative  raw  material  in  pharmaceuticals for  kidney  toxicity  treatment. Therefore,  the  flavonoids  rich  fraction  of  Irvingia  gabonensis  seed  extract  may  have curative  effect  in  the  treatment  of  kidney  diseases. </w:t>
      </w:r>
    </w:p>
    <w:p>
      <w:pPr>
        <w:pStyle w:val="style0"/>
        <w:jc w:val="both"/>
        <w:rPr>
          <w:rFonts w:ascii="Times New Roman" w:cs="Times New Roman" w:hAnsi="Times New Roman"/>
          <w:sz w:val="24"/>
          <w:szCs w:val="24"/>
        </w:rPr>
      </w:pPr>
      <w:r>
        <w:rPr>
          <w:rFonts w:ascii="Times New Roman" w:cs="Times New Roman" w:hAnsi="Times New Roman"/>
          <w:sz w:val="24"/>
          <w:szCs w:val="24"/>
          <w:lang w:val="en-US"/>
        </w:rPr>
        <w:t>Keywords: Acetaminophen, Flavonoids, Inflammation, Medicinal, Nephrocurative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289</Words>
  <Characters>1754</Characters>
  <Application>WPS Office</Application>
  <Paragraphs>7</Paragraphs>
  <CharactersWithSpaces>2240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2022-02-20T16:40:03Z</dcterms:created>
  <dc:creator>SM-T531</dc:creator>
  <lastModifiedBy>SM-T531</lastModifiedBy>
  <dcterms:modified xsi:type="dcterms:W3CDTF">2022-02-20T16:50:49Z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01229122337e4e4787d7366e4a569617</vt:lpwstr>
  </property>
</Properties>
</file>