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52D" w:rsidRDefault="0049452D" w:rsidP="0049452D">
      <w:pPr>
        <w:spacing w:after="180" w:line="336" w:lineRule="atLeast"/>
        <w:jc w:val="both"/>
        <w:outlineLvl w:val="0"/>
        <w:rPr>
          <w:rFonts w:eastAsia="Times New Roman" w:cs="Arial"/>
          <w:b/>
          <w:caps/>
          <w:color w:val="C00000"/>
          <w:kern w:val="36"/>
          <w:sz w:val="36"/>
          <w:szCs w:val="36"/>
          <w:lang w:eastAsia="en-IN"/>
        </w:rPr>
      </w:pPr>
      <w:r>
        <w:rPr>
          <w:rFonts w:eastAsia="Times New Roman" w:cs="Arial"/>
          <w:b/>
          <w:caps/>
          <w:color w:val="C00000"/>
          <w:kern w:val="36"/>
          <w:sz w:val="36"/>
          <w:szCs w:val="36"/>
          <w:lang w:eastAsia="en-IN"/>
        </w:rPr>
        <w:t>Dent</w:t>
      </w:r>
      <w:r>
        <w:rPr>
          <w:rFonts w:eastAsia="Times New Roman" w:cs="Arial"/>
          <w:b/>
          <w:caps/>
          <w:color w:val="C00000"/>
          <w:kern w:val="36"/>
          <w:sz w:val="36"/>
          <w:szCs w:val="36"/>
          <w:lang w:eastAsia="en-IN"/>
        </w:rPr>
        <w:t>al 2017</w:t>
      </w:r>
    </w:p>
    <w:p w:rsidR="0049452D" w:rsidRPr="006E6AE5" w:rsidRDefault="0049452D" w:rsidP="0049452D">
      <w:pPr>
        <w:jc w:val="both"/>
        <w:rPr>
          <w:rFonts w:ascii="Calibri" w:eastAsia="Times New Roman" w:hAnsi="Calibri" w:cs="Times New Roman"/>
          <w:color w:val="000000"/>
          <w:lang w:eastAsia="en-IN"/>
        </w:rPr>
      </w:pPr>
      <w:proofErr w:type="spellStart"/>
      <w:r>
        <w:rPr>
          <w:rFonts w:eastAsia="Times New Roman" w:cs="Times New Roman"/>
          <w:sz w:val="24"/>
          <w:szCs w:val="24"/>
          <w:lang w:eastAsia="en-IN"/>
        </w:rPr>
        <w:t>EuroSciCon</w:t>
      </w:r>
      <w:proofErr w:type="spellEnd"/>
      <w:r>
        <w:rPr>
          <w:rFonts w:eastAsia="Times New Roman" w:cs="Times New Roman"/>
          <w:sz w:val="24"/>
          <w:szCs w:val="24"/>
          <w:lang w:eastAsia="en-IN"/>
        </w:rPr>
        <w:t xml:space="preserve"> invites all the participants across the globe to attend the “</w:t>
      </w:r>
      <w:r>
        <w:rPr>
          <w:rFonts w:eastAsia="Times New Roman" w:cs="Times New Roman"/>
          <w:sz w:val="24"/>
          <w:szCs w:val="24"/>
          <w:lang w:eastAsia="en-IN"/>
        </w:rPr>
        <w:t xml:space="preserve">Dental </w:t>
      </w:r>
      <w:r>
        <w:rPr>
          <w:rFonts w:eastAsia="Times New Roman" w:cs="Times New Roman"/>
          <w:sz w:val="24"/>
          <w:szCs w:val="24"/>
          <w:lang w:eastAsia="en-IN"/>
        </w:rPr>
        <w:t>2017” during </w:t>
      </w:r>
      <w:r>
        <w:rPr>
          <w:rFonts w:ascii="Calibri" w:eastAsia="Times New Roman" w:hAnsi="Calibri" w:cs="Times New Roman"/>
          <w:b/>
          <w:color w:val="000000"/>
          <w:lang w:eastAsia="en-IN"/>
        </w:rPr>
        <w:t>November 13</w:t>
      </w:r>
      <w:r w:rsidRPr="0049452D">
        <w:rPr>
          <w:rFonts w:ascii="Calibri" w:eastAsia="Times New Roman" w:hAnsi="Calibri" w:cs="Times New Roman"/>
          <w:b/>
          <w:color w:val="000000"/>
          <w:vertAlign w:val="superscript"/>
          <w:lang w:eastAsia="en-IN"/>
        </w:rPr>
        <w:t>th</w:t>
      </w:r>
      <w:r>
        <w:rPr>
          <w:rFonts w:ascii="Calibri" w:eastAsia="Times New Roman" w:hAnsi="Calibri" w:cs="Times New Roman"/>
          <w:b/>
          <w:color w:val="000000"/>
          <w:lang w:eastAsia="en-IN"/>
        </w:rPr>
        <w:t>-15th</w:t>
      </w:r>
      <w:r w:rsidRPr="000E6DCF">
        <w:rPr>
          <w:rFonts w:ascii="Calibri" w:eastAsia="Times New Roman" w:hAnsi="Calibri" w:cs="Times New Roman"/>
          <w:b/>
          <w:color w:val="000000"/>
          <w:lang w:eastAsia="en-IN"/>
        </w:rPr>
        <w:t>, 2017 a</w:t>
      </w:r>
      <w:r w:rsidRPr="000E6DCF">
        <w:rPr>
          <w:rFonts w:eastAsia="Times New Roman" w:cs="Times New Roman"/>
          <w:b/>
          <w:sz w:val="24"/>
          <w:szCs w:val="24"/>
          <w:lang w:eastAsia="en-IN"/>
        </w:rPr>
        <w:t>t </w:t>
      </w:r>
      <w:r>
        <w:rPr>
          <w:rFonts w:eastAsia="Times New Roman" w:cs="Times New Roman"/>
          <w:b/>
          <w:sz w:val="24"/>
          <w:szCs w:val="24"/>
          <w:lang w:eastAsia="en-IN"/>
        </w:rPr>
        <w:t>Valencia</w:t>
      </w:r>
      <w:r w:rsidRPr="000E6DCF">
        <w:rPr>
          <w:rFonts w:ascii="Calibri" w:eastAsia="Times New Roman" w:hAnsi="Calibri" w:cs="Times New Roman"/>
          <w:b/>
          <w:color w:val="000000"/>
          <w:lang w:eastAsia="en-IN"/>
        </w:rPr>
        <w:t xml:space="preserve">, </w:t>
      </w:r>
      <w:r>
        <w:rPr>
          <w:rFonts w:ascii="Calibri" w:eastAsia="Times New Roman" w:hAnsi="Calibri" w:cs="Times New Roman"/>
          <w:b/>
          <w:color w:val="000000"/>
          <w:lang w:eastAsia="en-IN"/>
        </w:rPr>
        <w:t>Spain</w:t>
      </w:r>
      <w:r w:rsidRPr="000E6DCF">
        <w:rPr>
          <w:rFonts w:eastAsia="Times New Roman" w:cs="Times New Roman"/>
          <w:b/>
          <w:sz w:val="24"/>
          <w:szCs w:val="24"/>
          <w:lang w:eastAsia="en-IN"/>
        </w:rPr>
        <w:t>.</w:t>
      </w:r>
      <w:r>
        <w:rPr>
          <w:rFonts w:eastAsia="Times New Roman" w:cs="Times New Roman"/>
          <w:sz w:val="24"/>
          <w:szCs w:val="24"/>
          <w:lang w:eastAsia="en-IN"/>
        </w:rPr>
        <w:t xml:space="preserve"> </w:t>
      </w:r>
    </w:p>
    <w:p w:rsidR="0049452D" w:rsidRDefault="0049452D" w:rsidP="0049452D">
      <w:pPr>
        <w:jc w:val="both"/>
        <w:rPr>
          <w:rFonts w:ascii="Calibri" w:eastAsia="Times New Roman" w:hAnsi="Calibri" w:cs="Times New Roman"/>
          <w:color w:val="000000"/>
          <w:lang w:eastAsia="en-IN"/>
        </w:rPr>
      </w:pPr>
      <w:r>
        <w:rPr>
          <w:rFonts w:eastAsia="Times New Roman" w:cs="Times New Roman"/>
          <w:sz w:val="24"/>
          <w:szCs w:val="24"/>
          <w:lang w:eastAsia="en-IN"/>
        </w:rPr>
        <w:t>Dental</w:t>
      </w:r>
      <w:r>
        <w:rPr>
          <w:rFonts w:eastAsia="Times New Roman" w:cs="Times New Roman"/>
          <w:sz w:val="24"/>
          <w:szCs w:val="24"/>
          <w:lang w:eastAsia="en-IN"/>
        </w:rPr>
        <w:t xml:space="preserve"> 2017 is </w:t>
      </w:r>
      <w:r w:rsidRPr="008259B1">
        <w:rPr>
          <w:rFonts w:eastAsia="Times New Roman" w:cs="Times New Roman"/>
          <w:sz w:val="24"/>
          <w:szCs w:val="24"/>
          <w:lang w:eastAsia="en-IN"/>
        </w:rPr>
        <w:t>a coordinated ende</w:t>
      </w:r>
      <w:r w:rsidR="004448A8">
        <w:rPr>
          <w:rFonts w:eastAsia="Times New Roman" w:cs="Times New Roman"/>
          <w:sz w:val="24"/>
          <w:szCs w:val="24"/>
          <w:lang w:eastAsia="en-IN"/>
        </w:rPr>
        <w:t>avour to give an atmosphere at the c</w:t>
      </w:r>
      <w:r w:rsidRPr="008259B1">
        <w:rPr>
          <w:rFonts w:eastAsia="Times New Roman" w:cs="Times New Roman"/>
          <w:sz w:val="24"/>
          <w:szCs w:val="24"/>
          <w:lang w:eastAsia="en-IN"/>
        </w:rPr>
        <w:t xml:space="preserve">onference that </w:t>
      </w:r>
      <w:r w:rsidR="004448A8">
        <w:rPr>
          <w:rFonts w:eastAsia="Times New Roman" w:cs="Times New Roman"/>
          <w:sz w:val="24"/>
          <w:szCs w:val="24"/>
          <w:lang w:eastAsia="en-IN"/>
        </w:rPr>
        <w:t>invigorates association</w:t>
      </w:r>
      <w:r w:rsidRPr="008259B1">
        <w:rPr>
          <w:rFonts w:eastAsia="Times New Roman" w:cs="Times New Roman"/>
          <w:sz w:val="24"/>
          <w:szCs w:val="24"/>
          <w:lang w:eastAsia="en-IN"/>
        </w:rPr>
        <w:t xml:space="preserve">, </w:t>
      </w:r>
      <w:r w:rsidR="004448A8">
        <w:rPr>
          <w:rFonts w:eastAsia="Times New Roman" w:cs="Times New Roman"/>
          <w:sz w:val="24"/>
          <w:szCs w:val="24"/>
          <w:lang w:eastAsia="en-IN"/>
        </w:rPr>
        <w:t>exchange of contemplations</w:t>
      </w:r>
      <w:r w:rsidRPr="008259B1">
        <w:rPr>
          <w:rFonts w:eastAsia="Times New Roman" w:cs="Times New Roman"/>
          <w:sz w:val="24"/>
          <w:szCs w:val="24"/>
          <w:lang w:eastAsia="en-IN"/>
        </w:rPr>
        <w:t xml:space="preserve"> and </w:t>
      </w:r>
      <w:r w:rsidR="00A14298">
        <w:rPr>
          <w:rFonts w:eastAsia="Times New Roman" w:cs="Times New Roman"/>
          <w:sz w:val="24"/>
          <w:szCs w:val="24"/>
          <w:lang w:eastAsia="en-IN"/>
        </w:rPr>
        <w:t>frameworks</w:t>
      </w:r>
      <w:r w:rsidRPr="008259B1">
        <w:rPr>
          <w:rFonts w:eastAsia="Times New Roman" w:cs="Times New Roman"/>
          <w:sz w:val="24"/>
          <w:szCs w:val="24"/>
          <w:lang w:eastAsia="en-IN"/>
        </w:rPr>
        <w:t xml:space="preserve"> o</w:t>
      </w:r>
      <w:r w:rsidR="00A14298">
        <w:rPr>
          <w:rFonts w:eastAsia="Times New Roman" w:cs="Times New Roman"/>
          <w:sz w:val="24"/>
          <w:szCs w:val="24"/>
          <w:lang w:eastAsia="en-IN"/>
        </w:rPr>
        <w:t>rganisation openings</w:t>
      </w:r>
      <w:r w:rsidRPr="008259B1">
        <w:rPr>
          <w:rFonts w:eastAsia="Times New Roman" w:cs="Times New Roman"/>
          <w:sz w:val="24"/>
          <w:szCs w:val="24"/>
          <w:lang w:eastAsia="en-IN"/>
        </w:rPr>
        <w:t xml:space="preserve"> among all </w:t>
      </w:r>
      <w:r w:rsidR="00A14298">
        <w:rPr>
          <w:rFonts w:eastAsia="Times New Roman" w:cs="Times New Roman"/>
          <w:sz w:val="24"/>
          <w:szCs w:val="24"/>
          <w:lang w:eastAsia="en-IN"/>
        </w:rPr>
        <w:t>individuals</w:t>
      </w:r>
      <w:r w:rsidRPr="008259B1">
        <w:rPr>
          <w:rFonts w:eastAsia="Times New Roman" w:cs="Times New Roman"/>
          <w:sz w:val="24"/>
          <w:szCs w:val="24"/>
          <w:lang w:eastAsia="en-IN"/>
        </w:rPr>
        <w:t xml:space="preserve">. </w:t>
      </w:r>
      <w:r w:rsidRPr="000E6DCF">
        <w:rPr>
          <w:rFonts w:eastAsia="Times New Roman" w:cs="Times New Roman"/>
          <w:sz w:val="24"/>
          <w:szCs w:val="24"/>
          <w:lang w:eastAsia="en-IN"/>
        </w:rPr>
        <w:t xml:space="preserve">Join the best fixation for weight, things and research in around the </w:t>
      </w:r>
      <w:r w:rsidR="00A14298">
        <w:rPr>
          <w:rFonts w:eastAsia="Times New Roman" w:cs="Times New Roman"/>
          <w:sz w:val="24"/>
          <w:szCs w:val="24"/>
          <w:lang w:eastAsia="en-IN"/>
        </w:rPr>
        <w:t>globe</w:t>
      </w:r>
      <w:r w:rsidRPr="000E6DCF">
        <w:rPr>
          <w:rFonts w:eastAsia="Times New Roman" w:cs="Times New Roman"/>
          <w:sz w:val="24"/>
          <w:szCs w:val="24"/>
          <w:lang w:eastAsia="en-IN"/>
        </w:rPr>
        <w:t>.</w:t>
      </w:r>
      <w:r>
        <w:rPr>
          <w:rFonts w:eastAsia="Times New Roman" w:cs="Times New Roman"/>
          <w:sz w:val="24"/>
          <w:szCs w:val="24"/>
          <w:lang w:eastAsia="en-IN"/>
        </w:rPr>
        <w:t xml:space="preserve"> </w:t>
      </w:r>
      <w:r w:rsidRPr="008830F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This anticipated meet </w:t>
      </w:r>
      <w:r w:rsidR="00A14298">
        <w:rPr>
          <w:rFonts w:ascii="Times New Roman" w:eastAsia="Times New Roman" w:hAnsi="Times New Roman" w:cs="Times New Roman"/>
          <w:sz w:val="24"/>
          <w:szCs w:val="24"/>
          <w:lang w:eastAsia="en-IN"/>
        </w:rPr>
        <w:t>ensures</w:t>
      </w:r>
      <w:r w:rsidRPr="008830F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that offering the </w:t>
      </w:r>
      <w:r w:rsidR="00A14298">
        <w:rPr>
          <w:rFonts w:ascii="Times New Roman" w:eastAsia="Times New Roman" w:hAnsi="Times New Roman" w:cs="Times New Roman"/>
          <w:sz w:val="24"/>
          <w:szCs w:val="24"/>
          <w:lang w:eastAsia="en-IN"/>
        </w:rPr>
        <w:t>considerations</w:t>
      </w:r>
      <w:r w:rsidRPr="008830F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bits of </w:t>
      </w:r>
      <w:r w:rsidR="00A14298">
        <w:rPr>
          <w:rFonts w:ascii="Times New Roman" w:eastAsia="Times New Roman" w:hAnsi="Times New Roman" w:cs="Times New Roman"/>
          <w:sz w:val="24"/>
          <w:szCs w:val="24"/>
          <w:lang w:eastAsia="en-IN"/>
        </w:rPr>
        <w:t>learning</w:t>
      </w:r>
      <w:bookmarkStart w:id="0" w:name="_GoBack"/>
      <w:bookmarkEnd w:id="0"/>
      <w:r w:rsidRPr="008830F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will interface with and secure you the subject </w:t>
      </w:r>
      <w:r w:rsidRPr="000E6DCF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“</w:t>
      </w:r>
      <w:r w:rsidRPr="0049452D">
        <w:rPr>
          <w:rFonts w:ascii="Calibri" w:eastAsia="Times New Roman" w:hAnsi="Calibri" w:cs="Times New Roman"/>
          <w:b/>
          <w:color w:val="000000"/>
          <w:lang w:eastAsia="en-IN"/>
        </w:rPr>
        <w:t>New Creations and implements used in oral and dental care health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”.</w:t>
      </w:r>
    </w:p>
    <w:p w:rsidR="0049452D" w:rsidRDefault="0049452D" w:rsidP="0049452D">
      <w:r>
        <w:rPr>
          <w:b/>
          <w:sz w:val="28"/>
          <w:szCs w:val="28"/>
        </w:rPr>
        <w:t>Novel Approaches in Dentistry</w:t>
      </w:r>
      <w:r>
        <w:t>:</w:t>
      </w:r>
    </w:p>
    <w:p w:rsidR="0049452D" w:rsidRPr="0049452D" w:rsidRDefault="0049452D" w:rsidP="0049452D">
      <w:pPr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452D">
        <w:rPr>
          <w:rFonts w:ascii="Times New Roman" w:eastAsia="Times New Roman" w:hAnsi="Times New Roman" w:cs="Times New Roman"/>
          <w:sz w:val="24"/>
          <w:szCs w:val="24"/>
          <w:lang w:eastAsia="en-IN"/>
        </w:rPr>
        <w:t>Dental 2017 combined logical tracks that would offer finish and spellbinding sessions that address rhythmic movement inclining sorts of advance in Dentistry.</w:t>
      </w:r>
    </w:p>
    <w:p w:rsidR="0049452D" w:rsidRPr="0049452D" w:rsidRDefault="0049452D" w:rsidP="0049452D">
      <w:pPr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49452D" w:rsidRPr="0049452D" w:rsidRDefault="0049452D" w:rsidP="0049452D">
      <w:pPr>
        <w:pStyle w:val="ListParagraph"/>
        <w:numPr>
          <w:ilvl w:val="0"/>
          <w:numId w:val="3"/>
        </w:numPr>
        <w:spacing w:after="0" w:line="360" w:lineRule="atLeast"/>
        <w:jc w:val="both"/>
        <w:rPr>
          <w:bCs/>
        </w:rPr>
      </w:pPr>
      <w:proofErr w:type="spellStart"/>
      <w:r w:rsidRPr="0049452D">
        <w:rPr>
          <w:rFonts w:cs="Times New Roman"/>
          <w:bCs/>
        </w:rPr>
        <w:t>TheraCem</w:t>
      </w:r>
      <w:proofErr w:type="spellEnd"/>
      <w:r w:rsidRPr="0049452D">
        <w:rPr>
          <w:bCs/>
        </w:rPr>
        <w:t xml:space="preserve"> – </w:t>
      </w:r>
      <w:proofErr w:type="spellStart"/>
      <w:r w:rsidRPr="0049452D">
        <w:rPr>
          <w:bCs/>
        </w:rPr>
        <w:t>Self adhesive</w:t>
      </w:r>
      <w:proofErr w:type="spellEnd"/>
      <w:r w:rsidRPr="0049452D">
        <w:rPr>
          <w:bCs/>
        </w:rPr>
        <w:t xml:space="preserve"> resin cement</w:t>
      </w:r>
    </w:p>
    <w:p w:rsidR="0049452D" w:rsidRPr="0049452D" w:rsidRDefault="0049452D" w:rsidP="0049452D">
      <w:pPr>
        <w:pStyle w:val="Heading1"/>
        <w:numPr>
          <w:ilvl w:val="0"/>
          <w:numId w:val="3"/>
        </w:numPr>
        <w:pBdr>
          <w:bottom w:val="single" w:sz="6" w:space="0" w:color="EAEAEA"/>
        </w:pBdr>
        <w:spacing w:before="0" w:beforeAutospacing="0"/>
        <w:rPr>
          <w:rFonts w:asciiTheme="minorHAnsi" w:hAnsiTheme="minorHAnsi"/>
          <w:b w:val="0"/>
          <w:bCs w:val="0"/>
          <w:kern w:val="0"/>
          <w:sz w:val="22"/>
          <w:szCs w:val="22"/>
        </w:rPr>
      </w:pPr>
      <w:r w:rsidRPr="0049452D">
        <w:rPr>
          <w:rFonts w:asciiTheme="minorHAnsi" w:hAnsiTheme="minorHAnsi"/>
          <w:b w:val="0"/>
          <w:bCs w:val="0"/>
          <w:kern w:val="0"/>
          <w:sz w:val="22"/>
          <w:szCs w:val="22"/>
        </w:rPr>
        <w:t>Mosaic – Universal composite in Dentistry</w:t>
      </w:r>
    </w:p>
    <w:p w:rsidR="0049452D" w:rsidRPr="0049452D" w:rsidRDefault="0049452D" w:rsidP="0049452D">
      <w:pPr>
        <w:pStyle w:val="Heading1"/>
        <w:numPr>
          <w:ilvl w:val="0"/>
          <w:numId w:val="3"/>
        </w:numPr>
        <w:pBdr>
          <w:bottom w:val="single" w:sz="6" w:space="0" w:color="EAEAEA"/>
        </w:pBdr>
        <w:spacing w:before="0" w:beforeAutospacing="0"/>
        <w:rPr>
          <w:rFonts w:asciiTheme="minorHAnsi" w:hAnsiTheme="minorHAnsi"/>
          <w:b w:val="0"/>
          <w:bCs w:val="0"/>
          <w:kern w:val="0"/>
          <w:sz w:val="22"/>
          <w:szCs w:val="22"/>
        </w:rPr>
      </w:pPr>
      <w:proofErr w:type="spellStart"/>
      <w:r w:rsidRPr="0049452D">
        <w:rPr>
          <w:rFonts w:asciiTheme="minorHAnsi" w:hAnsiTheme="minorHAnsi"/>
          <w:b w:val="0"/>
          <w:bCs w:val="0"/>
          <w:kern w:val="0"/>
          <w:sz w:val="22"/>
          <w:szCs w:val="22"/>
        </w:rPr>
        <w:t>Ultaire</w:t>
      </w:r>
      <w:proofErr w:type="spellEnd"/>
      <w:r w:rsidRPr="0049452D">
        <w:rPr>
          <w:rFonts w:asciiTheme="minorHAnsi" w:hAnsiTheme="minorHAnsi"/>
          <w:b w:val="0"/>
          <w:bCs w:val="0"/>
          <w:kern w:val="0"/>
          <w:sz w:val="22"/>
          <w:szCs w:val="22"/>
        </w:rPr>
        <w:t xml:space="preserve"> </w:t>
      </w:r>
      <w:proofErr w:type="gramStart"/>
      <w:r w:rsidRPr="0049452D">
        <w:rPr>
          <w:rFonts w:asciiTheme="minorHAnsi" w:hAnsiTheme="minorHAnsi"/>
          <w:b w:val="0"/>
          <w:bCs w:val="0"/>
          <w:kern w:val="0"/>
          <w:sz w:val="22"/>
          <w:szCs w:val="22"/>
        </w:rPr>
        <w:t>AKP  -</w:t>
      </w:r>
      <w:proofErr w:type="gramEnd"/>
      <w:r w:rsidRPr="0049452D">
        <w:rPr>
          <w:rFonts w:asciiTheme="minorHAnsi" w:hAnsiTheme="minorHAnsi"/>
          <w:b w:val="0"/>
          <w:bCs w:val="0"/>
          <w:kern w:val="0"/>
          <w:sz w:val="22"/>
          <w:szCs w:val="22"/>
        </w:rPr>
        <w:t xml:space="preserve"> Denture frame</w:t>
      </w:r>
    </w:p>
    <w:p w:rsidR="0049452D" w:rsidRPr="0049452D" w:rsidRDefault="0049452D" w:rsidP="0049452D">
      <w:pPr>
        <w:pStyle w:val="Heading1"/>
        <w:numPr>
          <w:ilvl w:val="0"/>
          <w:numId w:val="3"/>
        </w:numPr>
        <w:pBdr>
          <w:bottom w:val="single" w:sz="6" w:space="0" w:color="EAEAEA"/>
        </w:pBdr>
        <w:spacing w:before="0" w:beforeAutospacing="0"/>
        <w:rPr>
          <w:rFonts w:asciiTheme="minorHAnsi" w:hAnsiTheme="minorHAnsi"/>
          <w:b w:val="0"/>
          <w:bCs w:val="0"/>
          <w:kern w:val="0"/>
          <w:sz w:val="22"/>
          <w:szCs w:val="22"/>
        </w:rPr>
      </w:pPr>
      <w:hyperlink r:id="rId6" w:history="1">
        <w:r w:rsidRPr="0049452D">
          <w:rPr>
            <w:rStyle w:val="Hyperlink"/>
            <w:rFonts w:asciiTheme="minorHAnsi" w:hAnsiTheme="minorHAnsi" w:cs="Arial"/>
            <w:b w:val="0"/>
            <w:bCs w:val="0"/>
            <w:color w:val="auto"/>
            <w:sz w:val="22"/>
            <w:szCs w:val="22"/>
            <w:u w:val="none"/>
            <w:bdr w:val="none" w:sz="0" w:space="0" w:color="auto" w:frame="1"/>
          </w:rPr>
          <w:t>Endeavour XL</w:t>
        </w:r>
        <w:r w:rsidRPr="0049452D">
          <w:rPr>
            <w:rStyle w:val="apple-converted-space"/>
            <w:rFonts w:asciiTheme="minorHAnsi" w:hAnsiTheme="minorHAnsi" w:cs="Arial"/>
            <w:b w:val="0"/>
            <w:bCs w:val="0"/>
            <w:sz w:val="22"/>
            <w:szCs w:val="22"/>
            <w:bdr w:val="none" w:sz="0" w:space="0" w:color="auto" w:frame="1"/>
          </w:rPr>
          <w:t> </w:t>
        </w:r>
      </w:hyperlink>
      <w:r w:rsidRPr="0049452D">
        <w:rPr>
          <w:rFonts w:asciiTheme="minorHAnsi" w:hAnsiTheme="minorHAnsi"/>
          <w:b w:val="0"/>
          <w:sz w:val="22"/>
          <w:szCs w:val="22"/>
        </w:rPr>
        <w:t>– Surgical Headlight</w:t>
      </w:r>
    </w:p>
    <w:p w:rsidR="0049452D" w:rsidRPr="0049452D" w:rsidRDefault="0049452D" w:rsidP="0049452D">
      <w:pPr>
        <w:pStyle w:val="Heading3"/>
        <w:numPr>
          <w:ilvl w:val="0"/>
          <w:numId w:val="3"/>
        </w:numPr>
        <w:spacing w:before="0" w:line="240" w:lineRule="auto"/>
        <w:rPr>
          <w:rFonts w:asciiTheme="minorHAnsi" w:hAnsiTheme="minorHAnsi" w:cs="Arial"/>
          <w:b w:val="0"/>
          <w:bCs w:val="0"/>
          <w:color w:val="auto"/>
        </w:rPr>
      </w:pPr>
      <w:r w:rsidRPr="0049452D">
        <w:rPr>
          <w:rFonts w:asciiTheme="minorHAnsi" w:hAnsiTheme="minorHAnsi" w:cs="Arial"/>
          <w:b w:val="0"/>
          <w:bCs w:val="0"/>
          <w:iCs/>
          <w:color w:val="auto"/>
        </w:rPr>
        <w:t xml:space="preserve">3M Lava </w:t>
      </w:r>
      <w:proofErr w:type="spellStart"/>
      <w:r w:rsidRPr="0049452D">
        <w:rPr>
          <w:rFonts w:asciiTheme="minorHAnsi" w:hAnsiTheme="minorHAnsi" w:cs="Arial"/>
          <w:b w:val="0"/>
          <w:bCs w:val="0"/>
          <w:iCs/>
          <w:color w:val="auto"/>
        </w:rPr>
        <w:t>Esthetic</w:t>
      </w:r>
      <w:proofErr w:type="spellEnd"/>
      <w:r w:rsidRPr="0049452D">
        <w:rPr>
          <w:rFonts w:asciiTheme="minorHAnsi" w:hAnsiTheme="minorHAnsi" w:cs="Arial"/>
          <w:b w:val="0"/>
          <w:bCs w:val="0"/>
          <w:iCs/>
          <w:color w:val="auto"/>
        </w:rPr>
        <w:t xml:space="preserve"> fluorescent full-contour zirconia – Shading innovation that conveys shade coordinate</w:t>
      </w:r>
    </w:p>
    <w:p w:rsidR="0049452D" w:rsidRDefault="0049452D" w:rsidP="0049452D">
      <w:pPr>
        <w:spacing w:before="375" w:after="270" w:line="336" w:lineRule="atLeast"/>
        <w:outlineLvl w:val="3"/>
        <w:rPr>
          <w:rFonts w:ascii="Arial" w:eastAsia="Times New Roman" w:hAnsi="Arial" w:cs="Arial"/>
          <w:b/>
          <w:bCs/>
          <w:color w:val="242732"/>
          <w:spacing w:val="30"/>
          <w:sz w:val="23"/>
          <w:szCs w:val="23"/>
          <w:lang w:eastAsia="en-IN"/>
        </w:rPr>
      </w:pPr>
      <w:r>
        <w:rPr>
          <w:rFonts w:ascii="Arial" w:eastAsia="Times New Roman" w:hAnsi="Arial" w:cs="Arial"/>
          <w:b/>
          <w:bCs/>
          <w:color w:val="242732"/>
          <w:spacing w:val="30"/>
          <w:sz w:val="23"/>
          <w:szCs w:val="23"/>
          <w:lang w:eastAsia="en-IN"/>
        </w:rPr>
        <w:t>Important Dates</w:t>
      </w:r>
    </w:p>
    <w:tbl>
      <w:tblPr>
        <w:tblW w:w="5640" w:type="dxa"/>
        <w:tblLook w:val="04A0" w:firstRow="1" w:lastRow="0" w:firstColumn="1" w:lastColumn="0" w:noHBand="0" w:noVBand="1"/>
      </w:tblPr>
      <w:tblGrid>
        <w:gridCol w:w="3156"/>
        <w:gridCol w:w="2484"/>
      </w:tblGrid>
      <w:tr w:rsidR="0049452D" w:rsidTr="00733075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52D" w:rsidRDefault="0049452D" w:rsidP="0073307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Early Bird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52D" w:rsidRDefault="0049452D" w:rsidP="0049452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September 25th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, 2017</w:t>
            </w:r>
          </w:p>
        </w:tc>
      </w:tr>
      <w:tr w:rsidR="0049452D" w:rsidTr="00733075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52D" w:rsidRDefault="0049452D" w:rsidP="0073307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Last Date of Abstract Submission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52D" w:rsidRDefault="0049452D" w:rsidP="0073307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September 18t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h, 2017</w:t>
            </w:r>
          </w:p>
        </w:tc>
      </w:tr>
      <w:tr w:rsidR="0049452D" w:rsidTr="00733075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52D" w:rsidRDefault="0049452D" w:rsidP="0073307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Last Date of Registration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52D" w:rsidRDefault="0049452D" w:rsidP="0073307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t>November 13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, 2017</w:t>
            </w:r>
          </w:p>
        </w:tc>
      </w:tr>
      <w:tr w:rsidR="0049452D" w:rsidTr="00733075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52D" w:rsidRDefault="0049452D" w:rsidP="0073307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Conference Date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52D" w:rsidRDefault="0049452D" w:rsidP="0073307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t>November 13th-15th</w:t>
            </w: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2017</w:t>
            </w:r>
          </w:p>
        </w:tc>
      </w:tr>
    </w:tbl>
    <w:p w:rsidR="0049452D" w:rsidRDefault="0049452D" w:rsidP="0049452D">
      <w:pPr>
        <w:shd w:val="clear" w:color="auto" w:fill="FFFFFF"/>
        <w:spacing w:before="150" w:after="1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IN"/>
        </w:rPr>
      </w:pPr>
    </w:p>
    <w:p w:rsidR="0049452D" w:rsidRDefault="0049452D" w:rsidP="0049452D">
      <w:pPr>
        <w:shd w:val="clear" w:color="auto" w:fill="FFFFFF"/>
        <w:spacing w:before="150" w:after="1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IN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IN"/>
        </w:rPr>
        <w:t xml:space="preserve">What to Expect at 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IN"/>
        </w:rPr>
        <w:t>Dental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IN"/>
        </w:rPr>
        <w:t xml:space="preserve"> 2017</w:t>
      </w:r>
    </w:p>
    <w:p w:rsidR="0049452D" w:rsidRDefault="0049452D" w:rsidP="0049452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0" w:lineRule="atLeast"/>
        <w:ind w:left="480"/>
        <w:rPr>
          <w:rFonts w:ascii="Arial" w:eastAsia="Times New Roman" w:hAnsi="Arial" w:cs="Arial"/>
          <w:color w:val="333333"/>
          <w:sz w:val="21"/>
          <w:szCs w:val="21"/>
          <w:lang w:eastAsia="en-IN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en-IN"/>
        </w:rPr>
        <w:t>Interaction with Global Participants</w:t>
      </w:r>
    </w:p>
    <w:p w:rsidR="0049452D" w:rsidRDefault="0049452D" w:rsidP="0049452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0" w:lineRule="atLeast"/>
        <w:ind w:left="480"/>
        <w:rPr>
          <w:rFonts w:ascii="Arial" w:eastAsia="Times New Roman" w:hAnsi="Arial" w:cs="Arial"/>
          <w:color w:val="333333"/>
          <w:sz w:val="21"/>
          <w:szCs w:val="21"/>
          <w:lang w:eastAsia="en-IN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en-IN"/>
        </w:rPr>
        <w:t>Cutting Edge Scientific Presentations</w:t>
      </w:r>
    </w:p>
    <w:p w:rsidR="0049452D" w:rsidRDefault="0049452D" w:rsidP="0049452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0" w:lineRule="atLeast"/>
        <w:ind w:left="480"/>
        <w:rPr>
          <w:rFonts w:ascii="Arial" w:eastAsia="Times New Roman" w:hAnsi="Arial" w:cs="Arial"/>
          <w:color w:val="333333"/>
          <w:sz w:val="21"/>
          <w:szCs w:val="21"/>
          <w:lang w:eastAsia="en-IN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en-IN"/>
        </w:rPr>
        <w:lastRenderedPageBreak/>
        <w:t>Exhibiting Companies to showcase their products</w:t>
      </w:r>
    </w:p>
    <w:p w:rsidR="0049452D" w:rsidRDefault="0049452D" w:rsidP="0049452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0" w:lineRule="atLeast"/>
        <w:ind w:left="480"/>
        <w:rPr>
          <w:rFonts w:ascii="Arial" w:eastAsia="Times New Roman" w:hAnsi="Arial" w:cs="Arial"/>
          <w:color w:val="333333"/>
          <w:sz w:val="21"/>
          <w:szCs w:val="21"/>
          <w:lang w:eastAsia="en-IN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en-IN"/>
        </w:rPr>
        <w:t>Scientific Research Posters</w:t>
      </w:r>
    </w:p>
    <w:p w:rsidR="0049452D" w:rsidRDefault="0049452D" w:rsidP="0049452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0" w:lineRule="atLeast"/>
        <w:ind w:left="480"/>
        <w:rPr>
          <w:rFonts w:ascii="Arial" w:eastAsia="Times New Roman" w:hAnsi="Arial" w:cs="Arial"/>
          <w:color w:val="333333"/>
          <w:sz w:val="21"/>
          <w:szCs w:val="21"/>
          <w:lang w:eastAsia="en-IN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en-IN"/>
        </w:rPr>
        <w:t>In-Depth Short Courses</w:t>
      </w:r>
    </w:p>
    <w:p w:rsidR="0049452D" w:rsidRDefault="0049452D" w:rsidP="0049452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0" w:lineRule="atLeast"/>
        <w:ind w:left="480"/>
        <w:rPr>
          <w:rFonts w:ascii="Arial" w:eastAsia="Times New Roman" w:hAnsi="Arial" w:cs="Arial"/>
          <w:color w:val="333333"/>
          <w:sz w:val="21"/>
          <w:szCs w:val="21"/>
          <w:lang w:eastAsia="en-IN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en-IN"/>
        </w:rPr>
        <w:t>Interactive Seminars &amp; Workshops</w:t>
      </w:r>
    </w:p>
    <w:p w:rsidR="0049452D" w:rsidRDefault="0049452D" w:rsidP="0049452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0" w:lineRule="atLeast"/>
        <w:ind w:left="480"/>
        <w:rPr>
          <w:rFonts w:ascii="Arial" w:eastAsia="Times New Roman" w:hAnsi="Arial" w:cs="Arial"/>
          <w:color w:val="333333"/>
          <w:sz w:val="21"/>
          <w:szCs w:val="21"/>
          <w:lang w:eastAsia="en-IN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en-IN"/>
        </w:rPr>
        <w:t>Registration Packages to Meet Your Goals and Needs</w:t>
      </w:r>
    </w:p>
    <w:p w:rsidR="0049452D" w:rsidRDefault="0049452D" w:rsidP="0049452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0" w:lineRule="atLeast"/>
        <w:ind w:left="480"/>
        <w:rPr>
          <w:rFonts w:ascii="Arial" w:eastAsia="Times New Roman" w:hAnsi="Arial" w:cs="Arial"/>
          <w:color w:val="333333"/>
          <w:sz w:val="21"/>
          <w:szCs w:val="21"/>
          <w:lang w:eastAsia="en-IN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en-IN"/>
        </w:rPr>
        <w:t>Interactive Breakout Groups</w:t>
      </w:r>
    </w:p>
    <w:p w:rsidR="0049452D" w:rsidRDefault="0049452D" w:rsidP="0049452D"/>
    <w:p w:rsidR="0049452D" w:rsidRDefault="0049452D" w:rsidP="0049452D">
      <w:pPr>
        <w:shd w:val="clear" w:color="auto" w:fill="FFFFFF"/>
        <w:spacing w:after="0" w:line="240" w:lineRule="auto"/>
        <w:jc w:val="both"/>
        <w:rPr>
          <w:rFonts w:eastAsia="Times New Roman" w:cs="Arial"/>
          <w:sz w:val="24"/>
          <w:szCs w:val="24"/>
          <w:lang w:eastAsia="en-IN"/>
        </w:rPr>
      </w:pPr>
    </w:p>
    <w:p w:rsidR="0049452D" w:rsidRDefault="0049452D" w:rsidP="0049452D">
      <w:pPr>
        <w:jc w:val="both"/>
        <w:rPr>
          <w:sz w:val="24"/>
          <w:szCs w:val="24"/>
        </w:rPr>
      </w:pPr>
    </w:p>
    <w:p w:rsidR="0049452D" w:rsidRDefault="0049452D" w:rsidP="0049452D"/>
    <w:p w:rsidR="0049452D" w:rsidRDefault="0049452D" w:rsidP="0049452D"/>
    <w:p w:rsidR="00182384" w:rsidRDefault="00182384"/>
    <w:sectPr w:rsidR="001823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D1079"/>
    <w:multiLevelType w:val="multilevel"/>
    <w:tmpl w:val="5F1EA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7A0241"/>
    <w:multiLevelType w:val="hybridMultilevel"/>
    <w:tmpl w:val="625827C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B717B0"/>
    <w:multiLevelType w:val="hybridMultilevel"/>
    <w:tmpl w:val="799481B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52D"/>
    <w:rsid w:val="00182384"/>
    <w:rsid w:val="004448A8"/>
    <w:rsid w:val="0049452D"/>
    <w:rsid w:val="00A1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52D"/>
  </w:style>
  <w:style w:type="paragraph" w:styleId="Heading1">
    <w:name w:val="heading 1"/>
    <w:basedOn w:val="Normal"/>
    <w:link w:val="Heading1Char"/>
    <w:uiPriority w:val="9"/>
    <w:qFormat/>
    <w:rsid w:val="004945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52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452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9452D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52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49452D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4945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52D"/>
  </w:style>
  <w:style w:type="paragraph" w:styleId="Heading1">
    <w:name w:val="heading 1"/>
    <w:basedOn w:val="Normal"/>
    <w:link w:val="Heading1Char"/>
    <w:uiPriority w:val="9"/>
    <w:qFormat/>
    <w:rsid w:val="004945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52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452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9452D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52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49452D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4945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4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ntistryiq.com/content/diq/en/articles/2017/03/orascoptic-introduces-endeavour-xl-surgical-headlight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Euroscicon Infectious Diseases</dc:creator>
  <cp:lastModifiedBy>Euroscicon Infectious Diseases</cp:lastModifiedBy>
  <cp:revision>1</cp:revision>
  <dcterms:created xsi:type="dcterms:W3CDTF">2017-03-25T05:06:00Z</dcterms:created>
  <dcterms:modified xsi:type="dcterms:W3CDTF">2017-03-25T05:29:00Z</dcterms:modified>
</cp:coreProperties>
</file>