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9B3" w:rsidRPr="00264CFF" w:rsidRDefault="00C91D61" w:rsidP="00264CFF">
      <w:pPr>
        <w:pStyle w:val="Default"/>
        <w:spacing w:line="360" w:lineRule="auto"/>
        <w:jc w:val="both"/>
        <w:rPr>
          <w:sz w:val="22"/>
          <w:lang w:val="en-GB"/>
        </w:rPr>
      </w:pPr>
      <w:r w:rsidRPr="00264CFF">
        <w:rPr>
          <w:sz w:val="22"/>
          <w:lang w:val="en-GB"/>
        </w:rPr>
        <mc:AlternateContent>
          <mc:Choice Requires="wps">
            <w:drawing>
              <wp:anchor distT="0" distB="0" distL="114300" distR="114300" simplePos="0" relativeHeight="251663360" behindDoc="0" locked="0" layoutInCell="1" allowOverlap="1" wp14:anchorId="0E87DD56" wp14:editId="0D42E424">
                <wp:simplePos x="0" y="0"/>
                <wp:positionH relativeFrom="column">
                  <wp:posOffset>1837994</wp:posOffset>
                </wp:positionH>
                <wp:positionV relativeFrom="paragraph">
                  <wp:posOffset>-549938</wp:posOffset>
                </wp:positionV>
                <wp:extent cx="2146852" cy="953550"/>
                <wp:effectExtent l="0" t="0" r="6350" b="0"/>
                <wp:wrapNone/>
                <wp:docPr id="3" name="Elipse 3"/>
                <wp:cNvGraphicFramePr/>
                <a:graphic xmlns:a="http://schemas.openxmlformats.org/drawingml/2006/main">
                  <a:graphicData uri="http://schemas.microsoft.com/office/word/2010/wordprocessingShape">
                    <wps:wsp>
                      <wps:cNvSpPr/>
                      <wps:spPr>
                        <a:xfrm>
                          <a:off x="0" y="0"/>
                          <a:ext cx="2146852" cy="953550"/>
                        </a:xfrm>
                        <a:prstGeom prst="ellipse">
                          <a:avLst/>
                        </a:prstGeom>
                        <a:solidFill>
                          <a:srgbClr val="DE8610">
                            <a:alpha val="49804"/>
                          </a:srgbClr>
                        </a:solidFill>
                        <a:ln>
                          <a:noFill/>
                        </a:ln>
                      </wps:spPr>
                      <wps:style>
                        <a:lnRef idx="0">
                          <a:scrgbClr r="0" g="0" b="0"/>
                        </a:lnRef>
                        <a:fillRef idx="0">
                          <a:scrgbClr r="0" g="0" b="0"/>
                        </a:fillRef>
                        <a:effectRef idx="0">
                          <a:scrgbClr r="0" g="0" b="0"/>
                        </a:effectRef>
                        <a:fontRef idx="minor">
                          <a:schemeClr val="lt1"/>
                        </a:fontRef>
                      </wps:style>
                      <wps:txbx>
                        <w:txbxContent>
                          <w:p w:rsidR="00C91D61" w:rsidRPr="00264CFF" w:rsidRDefault="00264CFF" w:rsidP="00C91D61">
                            <w:pPr>
                              <w:jc w:val="center"/>
                              <w:rPr>
                                <w:sz w:val="18"/>
                                <w:lang w:val="en-US"/>
                              </w:rPr>
                            </w:pPr>
                            <w:r w:rsidRPr="00264CFF">
                              <w:rPr>
                                <w:sz w:val="18"/>
                                <w:lang w:val="en-US"/>
                              </w:rPr>
                              <w:t>14th International Conference on Alternative Medicine, June 13-14, 2022, Dublin, Ireland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87DD56" id="Elipse 3" o:spid="_x0000_s1026" style="position:absolute;left:0;text-align:left;margin-left:144.7pt;margin-top:-43.3pt;width:169.05pt;height:7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" fillcolor="#de8610" stroked="f">
                <v:fill opacity="32639f"/>
                <v:textbox>
                  <w:txbxContent>
                    <w:p w:rsidR="00C91D61" w:rsidRPr="00264CFF" w:rsidRDefault="00264CFF" w:rsidP="00C91D61">
                      <w:pPr>
                        <w:jc w:val="center"/>
                        <w:rPr>
                          <w:sz w:val="18"/>
                          <w:lang w:val="en-US"/>
                        </w:rPr>
                      </w:pPr>
                      <w:r w:rsidRPr="00264CFF">
                        <w:rPr>
                          <w:sz w:val="18"/>
                          <w:lang w:val="en-US"/>
                        </w:rPr>
                        <w:t>14th International Conference on Alternative Medicine, June 13-14, 2022, Dublin, Ireland</w:t>
                      </w:r>
                    </w:p>
                  </w:txbxContent>
                </v:textbox>
              </v:oval>
            </w:pict>
          </mc:Fallback>
        </mc:AlternateContent>
      </w:r>
      <w:r w:rsidRPr="00264CFF">
        <w:rPr>
          <w:sz w:val="22"/>
          <w:lang w:val="en-GB"/>
        </w:rPr>
        <mc:AlternateContent>
          <mc:Choice Requires="wps">
            <w:drawing>
              <wp:anchor distT="0" distB="0" distL="114300" distR="114300" simplePos="0" relativeHeight="251661312" behindDoc="0" locked="0" layoutInCell="1" allowOverlap="1" wp14:anchorId="5A36FFE2" wp14:editId="0B0373E5">
                <wp:simplePos x="0" y="0"/>
                <wp:positionH relativeFrom="margin">
                  <wp:posOffset>4167726</wp:posOffset>
                </wp:positionH>
                <wp:positionV relativeFrom="paragraph">
                  <wp:posOffset>-565840</wp:posOffset>
                </wp:positionV>
                <wp:extent cx="1669774" cy="769979"/>
                <wp:effectExtent l="0" t="0" r="26035" b="11430"/>
                <wp:wrapNone/>
                <wp:docPr id="2" name="Elipse 2"/>
                <wp:cNvGraphicFramePr/>
                <a:graphic xmlns:a="http://schemas.openxmlformats.org/drawingml/2006/main">
                  <a:graphicData uri="http://schemas.microsoft.com/office/word/2010/wordprocessingShape">
                    <wps:wsp>
                      <wps:cNvSpPr/>
                      <wps:spPr>
                        <a:xfrm>
                          <a:off x="0" y="0"/>
                          <a:ext cx="1669774" cy="769979"/>
                        </a:xfrm>
                        <a:prstGeom prst="ellipse">
                          <a:avLst/>
                        </a:prstGeom>
                      </wps:spPr>
                      <wps:style>
                        <a:lnRef idx="1">
                          <a:schemeClr val="accent2"/>
                        </a:lnRef>
                        <a:fillRef idx="2">
                          <a:schemeClr val="accent2"/>
                        </a:fillRef>
                        <a:effectRef idx="1">
                          <a:schemeClr val="accent2"/>
                        </a:effectRef>
                        <a:fontRef idx="minor">
                          <a:schemeClr val="dk1"/>
                        </a:fontRef>
                      </wps:style>
                      <wps:txbx>
                        <w:txbxContent>
                          <w:p w:rsidR="00264CFF" w:rsidRPr="00264CFF" w:rsidRDefault="00264CFF" w:rsidP="00264CFF">
                            <w:pPr>
                              <w:jc w:val="center"/>
                              <w:rPr>
                                <w:sz w:val="16"/>
                              </w:rPr>
                            </w:pPr>
                            <w:r w:rsidRPr="00264CFF">
                              <w:rPr>
                                <w:sz w:val="18"/>
                              </w:rPr>
                              <w:t>ISSN No: 2327-5162</w:t>
                            </w:r>
                            <w:r>
                              <w:rPr>
                                <w:sz w:val="18"/>
                              </w:rPr>
                              <w:t xml:space="preserve"> </w:t>
                            </w:r>
                            <w:proofErr w:type="spellStart"/>
                            <w:r w:rsidRPr="00264CFF">
                              <w:rPr>
                                <w:sz w:val="18"/>
                              </w:rPr>
                              <w:t>Volume</w:t>
                            </w:r>
                            <w:proofErr w:type="spellEnd"/>
                            <w:r w:rsidRPr="00264CFF">
                              <w:rPr>
                                <w:sz w:val="18"/>
                              </w:rPr>
                              <w:t xml:space="preserve"> 10 | ISSUE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36FFE2" id="Elipse 2" o:spid="_x0000_s1027" style="position:absolute;left:0;text-align:left;margin-left:328.15pt;margin-top:-44.55pt;width:131.5pt;height:60.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" fillcolor="#f3a875 [2165]" strokecolor="#ed7d31 [3205]" strokeweight=".5pt">
                <v:fill color2="#f09558 [2613]" rotate="t" colors="0 #f7bda4;.5 #f5b195;1 #f8a581" focus="100%" type="gradient">
                  <o:fill v:ext="view" type="gradientUnscaled"/>
                </v:fill>
                <v:stroke joinstyle="miter"/>
                <v:textbox>
                  <w:txbxContent>
                    <w:p w:rsidR="00264CFF" w:rsidRPr="00264CFF" w:rsidRDefault="00264CFF" w:rsidP="00264CFF">
                      <w:pPr>
                        <w:jc w:val="center"/>
                        <w:rPr>
                          <w:sz w:val="16"/>
                        </w:rPr>
                      </w:pPr>
                      <w:r w:rsidRPr="00264CFF">
                        <w:rPr>
                          <w:sz w:val="18"/>
                        </w:rPr>
                        <w:t>ISSN No: 2327-5162</w:t>
                      </w:r>
                      <w:r>
                        <w:rPr>
                          <w:sz w:val="18"/>
                        </w:rPr>
                        <w:t xml:space="preserve"> </w:t>
                      </w:r>
                      <w:proofErr w:type="spellStart"/>
                      <w:r w:rsidRPr="00264CFF">
                        <w:rPr>
                          <w:sz w:val="18"/>
                        </w:rPr>
                        <w:t>Volume</w:t>
                      </w:r>
                      <w:proofErr w:type="spellEnd"/>
                      <w:r w:rsidRPr="00264CFF">
                        <w:rPr>
                          <w:sz w:val="18"/>
                        </w:rPr>
                        <w:t xml:space="preserve"> 10 | ISSUE 2</w:t>
                      </w:r>
                    </w:p>
                  </w:txbxContent>
                </v:textbox>
                <w10:wrap anchorx="margin"/>
              </v:oval>
            </w:pict>
          </mc:Fallback>
        </mc:AlternateContent>
      </w:r>
      <w:r w:rsidRPr="00264CFF">
        <w:rPr>
          <w:sz w:val="22"/>
          <w:lang w:val="en-GB"/>
        </w:rPr>
        <mc:AlternateContent>
          <mc:Choice Requires="wps">
            <w:drawing>
              <wp:anchor distT="0" distB="0" distL="114300" distR="114300" simplePos="0" relativeHeight="251659264" behindDoc="0" locked="0" layoutInCell="1" allowOverlap="1" wp14:anchorId="1E81D629" wp14:editId="76019EAF">
                <wp:simplePos x="0" y="0"/>
                <wp:positionH relativeFrom="column">
                  <wp:posOffset>-197540</wp:posOffset>
                </wp:positionH>
                <wp:positionV relativeFrom="paragraph">
                  <wp:posOffset>-494279</wp:posOffset>
                </wp:positionV>
                <wp:extent cx="1669774" cy="769979"/>
                <wp:effectExtent l="0" t="0" r="26035" b="11430"/>
                <wp:wrapNone/>
                <wp:docPr id="1" name="Elipse 1"/>
                <wp:cNvGraphicFramePr/>
                <a:graphic xmlns:a="http://schemas.openxmlformats.org/drawingml/2006/main">
                  <a:graphicData uri="http://schemas.microsoft.com/office/word/2010/wordprocessingShape">
                    <wps:wsp>
                      <wps:cNvSpPr/>
                      <wps:spPr>
                        <a:xfrm>
                          <a:off x="0" y="0"/>
                          <a:ext cx="1669774" cy="769979"/>
                        </a:xfrm>
                        <a:prstGeom prst="ellipse">
                          <a:avLst/>
                        </a:prstGeom>
                      </wps:spPr>
                      <wps:style>
                        <a:lnRef idx="1">
                          <a:schemeClr val="accent2"/>
                        </a:lnRef>
                        <a:fillRef idx="2">
                          <a:schemeClr val="accent2"/>
                        </a:fillRef>
                        <a:effectRef idx="1">
                          <a:schemeClr val="accent2"/>
                        </a:effectRef>
                        <a:fontRef idx="minor">
                          <a:schemeClr val="dk1"/>
                        </a:fontRef>
                      </wps:style>
                      <wps:txbx>
                        <w:txbxContent>
                          <w:p w:rsidR="00264CFF" w:rsidRPr="00264CFF" w:rsidRDefault="00264CFF" w:rsidP="00264CFF">
                            <w:pPr>
                              <w:jc w:val="center"/>
                              <w:rPr>
                                <w:sz w:val="18"/>
                              </w:rPr>
                            </w:pPr>
                            <w:r w:rsidRPr="00264CFF">
                              <w:rPr>
                                <w:sz w:val="18"/>
                              </w:rPr>
                              <w:t xml:space="preserve">Alternative &amp; </w:t>
                            </w:r>
                            <w:proofErr w:type="spellStart"/>
                            <w:r w:rsidRPr="00264CFF">
                              <w:rPr>
                                <w:sz w:val="18"/>
                              </w:rPr>
                              <w:t>Integrative</w:t>
                            </w:r>
                            <w:proofErr w:type="spellEnd"/>
                            <w:r w:rsidRPr="00264CFF">
                              <w:rPr>
                                <w:sz w:val="18"/>
                              </w:rPr>
                              <w:t xml:space="preserve"> Medicine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81D629" id="Elipse 1" o:spid="_x0000_s1028" style="position:absolute;left:0;text-align:left;margin-left:-15.55pt;margin-top:-38.9pt;width:131.5pt;height:6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" fillcolor="#f3a875 [2165]" strokecolor="#ed7d31 [3205]" strokeweight=".5pt">
                <v:fill color2="#f09558 [2613]" rotate="t" colors="0 #f7bda4;.5 #f5b195;1 #f8a581" focus="100%" type="gradient">
                  <o:fill v:ext="view" type="gradientUnscaled"/>
                </v:fill>
                <v:stroke joinstyle="miter"/>
                <v:textbox>
                  <w:txbxContent>
                    <w:p w:rsidR="00264CFF" w:rsidRPr="00264CFF" w:rsidRDefault="00264CFF" w:rsidP="00264CFF">
                      <w:pPr>
                        <w:jc w:val="center"/>
                        <w:rPr>
                          <w:sz w:val="18"/>
                        </w:rPr>
                      </w:pPr>
                      <w:r w:rsidRPr="00264CFF">
                        <w:rPr>
                          <w:sz w:val="18"/>
                        </w:rPr>
                        <w:t xml:space="preserve">Alternative &amp; </w:t>
                      </w:r>
                      <w:proofErr w:type="spellStart"/>
                      <w:r w:rsidRPr="00264CFF">
                        <w:rPr>
                          <w:sz w:val="18"/>
                        </w:rPr>
                        <w:t>Integrative</w:t>
                      </w:r>
                      <w:proofErr w:type="spellEnd"/>
                      <w:r w:rsidRPr="00264CFF">
                        <w:rPr>
                          <w:sz w:val="18"/>
                        </w:rPr>
                        <w:t xml:space="preserve"> Medicine</w:t>
                      </w:r>
                    </w:p>
                  </w:txbxContent>
                </v:textbox>
              </v:oval>
            </w:pict>
          </mc:Fallback>
        </mc:AlternateContent>
      </w:r>
    </w:p>
    <w:p w:rsidR="00264CFF" w:rsidRPr="00264CFF" w:rsidRDefault="00264CFF" w:rsidP="00264CFF">
      <w:pPr>
        <w:pStyle w:val="Default"/>
        <w:spacing w:line="360" w:lineRule="auto"/>
        <w:jc w:val="both"/>
        <w:rPr>
          <w:sz w:val="22"/>
          <w:lang w:val="en-GB"/>
        </w:rPr>
      </w:pPr>
    </w:p>
    <w:p w:rsidR="00264CFF" w:rsidRPr="00264CFF" w:rsidRDefault="00722A47" w:rsidP="00264CFF">
      <w:pPr>
        <w:spacing w:after="0" w:line="360" w:lineRule="auto"/>
        <w:jc w:val="both"/>
        <w:rPr>
          <w:rFonts w:ascii="Arial" w:hAnsi="Arial" w:cs="Arial"/>
          <w:b/>
          <w:szCs w:val="24"/>
          <w:lang w:val="en-GB"/>
        </w:rPr>
      </w:pPr>
      <w:r>
        <w:rPr>
          <w:rFonts w:ascii="Arial" w:hAnsi="Arial" w:cs="Arial"/>
          <w:b/>
          <w:szCs w:val="24"/>
          <w:lang w:val="en-GB"/>
        </w:rPr>
        <w:br/>
      </w:r>
      <w:r w:rsidR="00264CFF" w:rsidRPr="00264CFF">
        <w:rPr>
          <w:rFonts w:ascii="Arial" w:hAnsi="Arial" w:cs="Arial"/>
          <w:b/>
          <w:szCs w:val="24"/>
          <w:lang w:val="en-GB"/>
        </w:rPr>
        <w:t>Abstract</w:t>
      </w:r>
    </w:p>
    <w:p w:rsidR="004439B3" w:rsidRPr="00264CFF" w:rsidRDefault="004439B3" w:rsidP="00264CFF">
      <w:pPr>
        <w:spacing w:after="0" w:line="360" w:lineRule="auto"/>
        <w:jc w:val="both"/>
        <w:rPr>
          <w:rFonts w:ascii="Arial" w:hAnsi="Arial" w:cs="Arial"/>
          <w:szCs w:val="24"/>
          <w:lang w:val="en-GB"/>
        </w:rPr>
      </w:pPr>
      <w:r w:rsidRPr="00264CFF">
        <w:rPr>
          <w:rFonts w:ascii="Arial" w:hAnsi="Arial" w:cs="Arial"/>
          <w:szCs w:val="24"/>
          <w:lang w:val="en-GB"/>
        </w:rPr>
        <w:t xml:space="preserve">Recently, the impact of oral infections on global human health and their importance in the complications of patients with some chronic conditions have been recognized. Current medical treatments deal with the specificity and resistance of pathogenic strains of the oral cavity made up of by bacteria, fungi and viruses; thus, novel substances are necessary for use as effective drugs. Plants have been a source of active chemical agents since ancient times; however, a number of family plants still remain unstudied. This is the case of </w:t>
      </w:r>
      <w:proofErr w:type="spellStart"/>
      <w:r w:rsidRPr="00264CFF">
        <w:rPr>
          <w:rFonts w:ascii="Arial" w:hAnsi="Arial" w:cs="Arial"/>
          <w:szCs w:val="24"/>
          <w:lang w:val="en-GB"/>
        </w:rPr>
        <w:t>Malpighiaceae</w:t>
      </w:r>
      <w:proofErr w:type="spellEnd"/>
      <w:r w:rsidRPr="00264CFF">
        <w:rPr>
          <w:rFonts w:ascii="Arial" w:hAnsi="Arial" w:cs="Arial"/>
          <w:szCs w:val="24"/>
          <w:lang w:val="en-GB"/>
        </w:rPr>
        <w:t xml:space="preserve">, a flowering plant family that possesses secondary metabolites that have exhibited a variety of pharmacological effects with promising results. </w:t>
      </w:r>
    </w:p>
    <w:p w:rsidR="004439B3" w:rsidRPr="00264CFF" w:rsidRDefault="004439B3" w:rsidP="00264CFF">
      <w:pPr>
        <w:spacing w:after="0" w:line="360" w:lineRule="auto"/>
        <w:jc w:val="both"/>
        <w:rPr>
          <w:rFonts w:ascii="Arial" w:hAnsi="Arial" w:cs="Arial"/>
          <w:szCs w:val="24"/>
          <w:lang w:val="en-GB"/>
        </w:rPr>
      </w:pPr>
      <w:r w:rsidRPr="00264CFF">
        <w:rPr>
          <w:rFonts w:ascii="Arial" w:hAnsi="Arial" w:cs="Arial"/>
          <w:szCs w:val="24"/>
          <w:lang w:val="en-GB"/>
        </w:rPr>
        <w:t>Objectives:</w:t>
      </w:r>
    </w:p>
    <w:p w:rsidR="004439B3" w:rsidRPr="00264CFF" w:rsidRDefault="004439B3" w:rsidP="00264CFF">
      <w:pPr>
        <w:spacing w:after="0" w:line="360" w:lineRule="auto"/>
        <w:jc w:val="both"/>
        <w:rPr>
          <w:rFonts w:ascii="Arial" w:hAnsi="Arial" w:cs="Arial"/>
          <w:szCs w:val="24"/>
          <w:lang w:val="en-GB"/>
        </w:rPr>
      </w:pPr>
      <w:r w:rsidRPr="00264CFF">
        <w:rPr>
          <w:rFonts w:ascii="Arial" w:hAnsi="Arial" w:cs="Arial"/>
          <w:szCs w:val="24"/>
          <w:lang w:val="en-GB"/>
        </w:rPr>
        <w:t xml:space="preserve">1. To provide an overview of the extracts and active constituents isolated from species belonging to the </w:t>
      </w:r>
      <w:proofErr w:type="spellStart"/>
      <w:r w:rsidRPr="00264CFF">
        <w:rPr>
          <w:rFonts w:ascii="Arial" w:hAnsi="Arial" w:cs="Arial"/>
          <w:szCs w:val="24"/>
          <w:lang w:val="en-GB"/>
        </w:rPr>
        <w:t>Malpighiaceae</w:t>
      </w:r>
      <w:proofErr w:type="spellEnd"/>
      <w:r w:rsidRPr="00264CFF">
        <w:rPr>
          <w:rFonts w:ascii="Arial" w:hAnsi="Arial" w:cs="Arial"/>
          <w:szCs w:val="24"/>
          <w:lang w:val="en-GB"/>
        </w:rPr>
        <w:t xml:space="preserve"> family, and</w:t>
      </w:r>
    </w:p>
    <w:p w:rsidR="00F404B2" w:rsidRPr="00264CFF" w:rsidRDefault="004439B3" w:rsidP="00264CFF">
      <w:pPr>
        <w:spacing w:after="0" w:line="360" w:lineRule="auto"/>
        <w:jc w:val="both"/>
        <w:rPr>
          <w:rFonts w:ascii="Arial" w:hAnsi="Arial" w:cs="Arial"/>
          <w:szCs w:val="24"/>
          <w:lang w:val="en-GB"/>
        </w:rPr>
      </w:pPr>
      <w:r w:rsidRPr="00264CFF">
        <w:rPr>
          <w:rFonts w:ascii="Arial" w:hAnsi="Arial" w:cs="Arial"/>
          <w:szCs w:val="24"/>
          <w:lang w:val="en-GB"/>
        </w:rPr>
        <w:t>2. To emphasize their activities against bacteria, fungi and viruses during recent years and their potential impact on the pathogens of the oral cavity.</w:t>
      </w:r>
    </w:p>
    <w:p w:rsidR="004439B3" w:rsidRPr="00264CFF" w:rsidRDefault="004439B3" w:rsidP="00264CFF">
      <w:pPr>
        <w:spacing w:after="0" w:line="360" w:lineRule="auto"/>
        <w:jc w:val="both"/>
        <w:rPr>
          <w:rStyle w:val="markedcontent"/>
          <w:rFonts w:ascii="Arial" w:hAnsi="Arial" w:cs="Arial"/>
          <w:szCs w:val="24"/>
          <w:lang w:val="en-GB"/>
        </w:rPr>
      </w:pPr>
      <w:r w:rsidRPr="00264CFF">
        <w:rPr>
          <w:rStyle w:val="markedcontent"/>
          <w:rFonts w:ascii="Arial" w:hAnsi="Arial" w:cs="Arial"/>
          <w:szCs w:val="24"/>
          <w:lang w:val="en-GB"/>
        </w:rPr>
        <w:t>Methodology</w:t>
      </w:r>
      <w:r w:rsidRPr="00264CFF">
        <w:rPr>
          <w:rStyle w:val="markedcontent"/>
          <w:rFonts w:ascii="Arial" w:hAnsi="Arial" w:cs="Arial"/>
          <w:szCs w:val="24"/>
          <w:lang w:val="en-GB"/>
        </w:rPr>
        <w:t>:</w:t>
      </w:r>
    </w:p>
    <w:p w:rsidR="00473DE0" w:rsidRPr="00264CFF" w:rsidRDefault="004439B3" w:rsidP="00264CFF">
      <w:pPr>
        <w:spacing w:after="0" w:line="360" w:lineRule="auto"/>
        <w:jc w:val="both"/>
        <w:rPr>
          <w:rFonts w:ascii="Arial" w:hAnsi="Arial" w:cs="Arial"/>
          <w:szCs w:val="24"/>
          <w:lang w:val="en-GB"/>
        </w:rPr>
      </w:pPr>
      <w:r w:rsidRPr="00264CFF">
        <w:rPr>
          <w:rFonts w:ascii="Arial" w:hAnsi="Arial" w:cs="Arial"/>
          <w:szCs w:val="24"/>
          <w:lang w:val="en-GB"/>
        </w:rPr>
        <w:t xml:space="preserve">Electronic databases PubMed, Reference Manager, Scopus, Web of Science and Google Scholar were systematically reviewed for publications that present data on </w:t>
      </w:r>
      <w:proofErr w:type="spellStart"/>
      <w:r w:rsidRPr="00264CFF">
        <w:rPr>
          <w:rFonts w:ascii="Arial" w:hAnsi="Arial" w:cs="Arial"/>
          <w:szCs w:val="24"/>
          <w:lang w:val="en-GB"/>
        </w:rPr>
        <w:t>Malpighiaceae</w:t>
      </w:r>
      <w:proofErr w:type="spellEnd"/>
      <w:r w:rsidRPr="00264CFF">
        <w:rPr>
          <w:rFonts w:ascii="Arial" w:hAnsi="Arial" w:cs="Arial"/>
          <w:szCs w:val="24"/>
          <w:lang w:val="en-GB"/>
        </w:rPr>
        <w:t xml:space="preserve"> species that exert activities on bacteria, fungi, and viruses. </w:t>
      </w:r>
    </w:p>
    <w:p w:rsidR="00473DE0" w:rsidRPr="00264CFF" w:rsidRDefault="00473DE0" w:rsidP="00264CFF">
      <w:pPr>
        <w:spacing w:after="0" w:line="360" w:lineRule="auto"/>
        <w:jc w:val="both"/>
        <w:rPr>
          <w:rFonts w:ascii="Arial" w:hAnsi="Arial" w:cs="Arial"/>
          <w:szCs w:val="24"/>
          <w:lang w:val="en-GB"/>
        </w:rPr>
      </w:pPr>
    </w:p>
    <w:p w:rsidR="00473DE0" w:rsidRPr="00264CFF" w:rsidRDefault="00473DE0" w:rsidP="00264CFF">
      <w:pPr>
        <w:spacing w:after="0" w:line="360" w:lineRule="auto"/>
        <w:jc w:val="both"/>
        <w:rPr>
          <w:rFonts w:ascii="Arial" w:hAnsi="Arial" w:cs="Arial"/>
          <w:szCs w:val="24"/>
          <w:lang w:val="en-GB"/>
        </w:rPr>
      </w:pPr>
      <w:r w:rsidRPr="00264CFF">
        <w:rPr>
          <w:rFonts w:ascii="Arial" w:hAnsi="Arial" w:cs="Arial"/>
          <w:szCs w:val="24"/>
          <w:lang w:val="en-GB"/>
        </w:rPr>
        <w:t>Results</w:t>
      </w:r>
      <w:r w:rsidRPr="00264CFF">
        <w:rPr>
          <w:rFonts w:ascii="Arial" w:hAnsi="Arial" w:cs="Arial"/>
          <w:szCs w:val="24"/>
          <w:lang w:val="en-GB"/>
        </w:rPr>
        <w:t>:</w:t>
      </w:r>
    </w:p>
    <w:p w:rsidR="00473DE0" w:rsidRPr="00264CFF" w:rsidRDefault="00473DE0" w:rsidP="00264CFF">
      <w:pPr>
        <w:spacing w:after="0" w:line="360" w:lineRule="auto"/>
        <w:jc w:val="both"/>
        <w:rPr>
          <w:rFonts w:ascii="Arial" w:hAnsi="Arial" w:cs="Arial"/>
          <w:szCs w:val="24"/>
          <w:lang w:val="en-GB"/>
        </w:rPr>
      </w:pPr>
      <w:r w:rsidRPr="00264CFF">
        <w:rPr>
          <w:rFonts w:ascii="Arial" w:hAnsi="Arial" w:cs="Arial"/>
          <w:szCs w:val="24"/>
          <w:lang w:val="en-GB"/>
        </w:rPr>
        <w:t xml:space="preserve">In general, the articles that studied the antibacterial activity of </w:t>
      </w:r>
      <w:proofErr w:type="spellStart"/>
      <w:r w:rsidRPr="00264CFF">
        <w:rPr>
          <w:rFonts w:ascii="Arial" w:hAnsi="Arial" w:cs="Arial"/>
          <w:szCs w:val="24"/>
          <w:lang w:val="en-GB"/>
        </w:rPr>
        <w:t>Malpighiaceae</w:t>
      </w:r>
      <w:proofErr w:type="spellEnd"/>
      <w:r w:rsidRPr="00264CFF">
        <w:rPr>
          <w:rFonts w:ascii="Arial" w:hAnsi="Arial" w:cs="Arial"/>
          <w:szCs w:val="24"/>
          <w:lang w:val="en-GB"/>
        </w:rPr>
        <w:t xml:space="preserve"> family constituted 50% of the articles included; while antifungal studies constituted 40% of all articles included. The most studied genus was </w:t>
      </w:r>
      <w:r w:rsidRPr="00264CFF">
        <w:rPr>
          <w:rFonts w:ascii="Arial" w:hAnsi="Arial" w:cs="Arial"/>
          <w:i/>
          <w:szCs w:val="24"/>
          <w:lang w:val="en-GB"/>
        </w:rPr>
        <w:t>Candida</w:t>
      </w:r>
      <w:r w:rsidRPr="00264CFF">
        <w:rPr>
          <w:rFonts w:ascii="Arial" w:hAnsi="Arial" w:cs="Arial"/>
          <w:szCs w:val="24"/>
          <w:lang w:val="en-GB"/>
        </w:rPr>
        <w:t xml:space="preserve"> </w:t>
      </w:r>
      <w:proofErr w:type="spellStart"/>
      <w:r w:rsidRPr="00264CFF">
        <w:rPr>
          <w:rFonts w:ascii="Arial" w:hAnsi="Arial" w:cs="Arial"/>
          <w:szCs w:val="24"/>
          <w:lang w:val="en-GB"/>
        </w:rPr>
        <w:t>spp</w:t>
      </w:r>
      <w:proofErr w:type="spellEnd"/>
      <w:r w:rsidRPr="00264CFF">
        <w:rPr>
          <w:rFonts w:ascii="Arial" w:hAnsi="Arial" w:cs="Arial"/>
          <w:szCs w:val="24"/>
          <w:lang w:val="en-GB"/>
        </w:rPr>
        <w:t xml:space="preserve"> </w:t>
      </w:r>
    </w:p>
    <w:p w:rsidR="00473DE0" w:rsidRPr="00264CFF" w:rsidRDefault="00473DE0" w:rsidP="00264CFF">
      <w:pPr>
        <w:spacing w:after="0" w:line="360" w:lineRule="auto"/>
        <w:jc w:val="both"/>
        <w:rPr>
          <w:rFonts w:ascii="Arial" w:hAnsi="Arial" w:cs="Arial"/>
          <w:szCs w:val="24"/>
          <w:lang w:val="en-GB"/>
        </w:rPr>
      </w:pPr>
      <w:r w:rsidRPr="00264CFF">
        <w:rPr>
          <w:rFonts w:ascii="Arial" w:hAnsi="Arial" w:cs="Arial"/>
          <w:szCs w:val="24"/>
          <w:lang w:val="en-GB"/>
        </w:rPr>
        <w:t>Conclusion</w:t>
      </w:r>
      <w:r w:rsidRPr="00264CFF">
        <w:rPr>
          <w:rFonts w:ascii="Arial" w:hAnsi="Arial" w:cs="Arial"/>
          <w:szCs w:val="24"/>
          <w:lang w:val="en-GB"/>
        </w:rPr>
        <w:t>:</w:t>
      </w:r>
    </w:p>
    <w:p w:rsidR="00473DE0" w:rsidRPr="00264CFF" w:rsidRDefault="00473DE0" w:rsidP="00264CFF">
      <w:pPr>
        <w:spacing w:after="0" w:line="360" w:lineRule="auto"/>
        <w:jc w:val="both"/>
        <w:rPr>
          <w:rFonts w:ascii="Arial" w:hAnsi="Arial" w:cs="Arial"/>
          <w:szCs w:val="24"/>
          <w:lang w:val="en-GB"/>
        </w:rPr>
      </w:pPr>
      <w:r w:rsidRPr="00264CFF">
        <w:rPr>
          <w:rFonts w:ascii="Arial" w:hAnsi="Arial" w:cs="Arial"/>
          <w:szCs w:val="24"/>
          <w:lang w:val="en-GB"/>
        </w:rPr>
        <w:t xml:space="preserve">To the best of our knowledge, the present study is the first report of the </w:t>
      </w:r>
      <w:proofErr w:type="spellStart"/>
      <w:r w:rsidRPr="00264CFF">
        <w:rPr>
          <w:rFonts w:ascii="Arial" w:hAnsi="Arial" w:cs="Arial"/>
          <w:szCs w:val="24"/>
          <w:lang w:val="en-GB"/>
        </w:rPr>
        <w:t>Malpighiaceae</w:t>
      </w:r>
      <w:proofErr w:type="spellEnd"/>
      <w:r w:rsidRPr="00264CFF">
        <w:rPr>
          <w:rFonts w:ascii="Arial" w:hAnsi="Arial" w:cs="Arial"/>
          <w:szCs w:val="24"/>
          <w:lang w:val="en-GB"/>
        </w:rPr>
        <w:t xml:space="preserve"> family and its pharmacological data for oral infectious diseases.</w:t>
      </w:r>
    </w:p>
    <w:p w:rsidR="00473DE0" w:rsidRPr="00264CFF" w:rsidRDefault="00473DE0" w:rsidP="00264CFF">
      <w:pPr>
        <w:spacing w:after="0" w:line="360" w:lineRule="auto"/>
        <w:jc w:val="both"/>
        <w:rPr>
          <w:rFonts w:ascii="Arial" w:hAnsi="Arial" w:cs="Arial"/>
          <w:szCs w:val="24"/>
          <w:lang w:val="en-GB"/>
        </w:rPr>
      </w:pPr>
    </w:p>
    <w:p w:rsidR="00473DE0" w:rsidRPr="00264CFF" w:rsidRDefault="00473DE0" w:rsidP="00264CFF">
      <w:pPr>
        <w:spacing w:after="0" w:line="360" w:lineRule="auto"/>
        <w:jc w:val="both"/>
        <w:rPr>
          <w:rFonts w:ascii="Arial" w:hAnsi="Arial" w:cs="Arial"/>
          <w:szCs w:val="24"/>
          <w:lang w:val="en-GB"/>
        </w:rPr>
      </w:pPr>
    </w:p>
    <w:p w:rsidR="00473DE0" w:rsidRPr="00264CFF" w:rsidRDefault="00C91D61" w:rsidP="00264CFF">
      <w:pPr>
        <w:spacing w:after="0" w:line="360" w:lineRule="auto"/>
        <w:jc w:val="both"/>
        <w:rPr>
          <w:rFonts w:ascii="Arial" w:hAnsi="Arial" w:cs="Arial"/>
          <w:b/>
          <w:szCs w:val="24"/>
          <w:lang w:val="en-GB"/>
        </w:rPr>
      </w:pPr>
      <w:r w:rsidRPr="00264CFF">
        <w:rPr>
          <w:rFonts w:ascii="Arial" w:hAnsi="Arial" w:cs="Arial"/>
          <w:b/>
          <w:szCs w:val="24"/>
          <w:lang w:val="en-GB"/>
        </w:rPr>
        <w:t>Biography</w:t>
      </w:r>
    </w:p>
    <w:p w:rsidR="00264CFF" w:rsidRPr="00264CFF" w:rsidRDefault="00264CFF" w:rsidP="00264CFF">
      <w:pPr>
        <w:autoSpaceDE w:val="0"/>
        <w:autoSpaceDN w:val="0"/>
        <w:adjustRightInd w:val="0"/>
        <w:spacing w:after="0" w:line="360" w:lineRule="auto"/>
        <w:jc w:val="both"/>
        <w:rPr>
          <w:rFonts w:ascii="Arial" w:hAnsi="Arial" w:cs="Arial"/>
          <w:bCs/>
          <w:szCs w:val="24"/>
          <w:lang w:val="it-IT"/>
        </w:rPr>
      </w:pPr>
      <w:r w:rsidRPr="00264CFF">
        <w:rPr>
          <w:rFonts w:ascii="Arial" w:hAnsi="Arial" w:cs="Arial"/>
          <w:bCs/>
          <w:szCs w:val="24"/>
          <w:lang w:val="it-IT"/>
        </w:rPr>
        <w:lastRenderedPageBreak/>
        <w:t xml:space="preserve">Getsemaní Sinaí Villanueva Amador </w:t>
      </w:r>
      <w:r w:rsidRPr="00264CFF">
        <w:rPr>
          <w:rFonts w:ascii="Arial" w:hAnsi="Arial" w:cs="Arial"/>
          <w:szCs w:val="24"/>
          <w:lang w:val="it-IT"/>
        </w:rPr>
        <w:t xml:space="preserve">is a Biologist and </w:t>
      </w:r>
      <w:r w:rsidRPr="00264CFF">
        <w:rPr>
          <w:rFonts w:ascii="Arial" w:hAnsi="Arial" w:cs="Arial"/>
          <w:bCs/>
          <w:szCs w:val="24"/>
          <w:lang w:val="it-IT"/>
        </w:rPr>
        <w:t xml:space="preserve">has completed her MSc from </w:t>
      </w:r>
      <w:r w:rsidRPr="00264CFF">
        <w:rPr>
          <w:rFonts w:ascii="Arial" w:hAnsi="Arial" w:cs="Arial"/>
          <w:szCs w:val="24"/>
          <w:lang w:val="it-IT"/>
        </w:rPr>
        <w:t>Universidad Nacional Autónoma de México (UNAM, National Autonomous University of Mexico).</w:t>
      </w:r>
    </w:p>
    <w:p w:rsidR="00264CFF" w:rsidRPr="00264CFF" w:rsidRDefault="00264CFF" w:rsidP="00264CFF">
      <w:pPr>
        <w:autoSpaceDE w:val="0"/>
        <w:autoSpaceDN w:val="0"/>
        <w:adjustRightInd w:val="0"/>
        <w:spacing w:after="0" w:line="360" w:lineRule="auto"/>
        <w:jc w:val="both"/>
        <w:rPr>
          <w:rFonts w:ascii="Arial" w:hAnsi="Arial" w:cs="Arial"/>
          <w:szCs w:val="24"/>
          <w:lang w:val="en-US"/>
        </w:rPr>
      </w:pPr>
      <w:r w:rsidRPr="00264CFF">
        <w:rPr>
          <w:rFonts w:ascii="Arial" w:hAnsi="Arial" w:cs="Arial"/>
          <w:szCs w:val="24"/>
          <w:lang w:val="en-US"/>
        </w:rPr>
        <w:t xml:space="preserve">Her professional experiences comprise working as a researcher in </w:t>
      </w:r>
      <w:proofErr w:type="spellStart"/>
      <w:r w:rsidRPr="00264CFF">
        <w:rPr>
          <w:rFonts w:ascii="Arial" w:hAnsi="Arial" w:cs="Arial"/>
          <w:szCs w:val="24"/>
          <w:lang w:val="en-US"/>
        </w:rPr>
        <w:t>Phytochemistry</w:t>
      </w:r>
      <w:proofErr w:type="spellEnd"/>
      <w:r w:rsidRPr="00264CFF">
        <w:rPr>
          <w:rFonts w:ascii="Arial" w:hAnsi="Arial" w:cs="Arial"/>
          <w:szCs w:val="24"/>
          <w:lang w:val="en-US"/>
        </w:rPr>
        <w:t xml:space="preserve">, Molecular Biology and </w:t>
      </w:r>
      <w:proofErr w:type="spellStart"/>
      <w:r w:rsidRPr="00264CFF">
        <w:rPr>
          <w:rFonts w:ascii="Arial" w:hAnsi="Arial" w:cs="Arial"/>
          <w:szCs w:val="24"/>
          <w:lang w:val="en-US"/>
        </w:rPr>
        <w:t>Micology</w:t>
      </w:r>
      <w:proofErr w:type="spellEnd"/>
      <w:r w:rsidRPr="00264CFF">
        <w:rPr>
          <w:rFonts w:ascii="Arial" w:hAnsi="Arial" w:cs="Arial"/>
          <w:szCs w:val="24"/>
          <w:lang w:val="en-US"/>
        </w:rPr>
        <w:t xml:space="preserve">. She is also a professor of Botany in the Biology career at Science Faculty, at UNAM. She has published 3 papers since 2020. </w:t>
      </w:r>
    </w:p>
    <w:p w:rsidR="00473DE0" w:rsidRPr="00264CFF" w:rsidRDefault="00473DE0" w:rsidP="00264CFF">
      <w:pPr>
        <w:spacing w:after="0" w:line="360" w:lineRule="auto"/>
        <w:jc w:val="both"/>
        <w:rPr>
          <w:rFonts w:ascii="Arial" w:hAnsi="Arial" w:cs="Arial"/>
          <w:szCs w:val="24"/>
          <w:lang w:val="en-GB"/>
        </w:rPr>
      </w:pPr>
    </w:p>
    <w:p w:rsidR="00473DE0" w:rsidRPr="00264CFF" w:rsidRDefault="00473DE0" w:rsidP="00264CFF">
      <w:pPr>
        <w:spacing w:after="0" w:line="360" w:lineRule="auto"/>
        <w:jc w:val="both"/>
        <w:rPr>
          <w:rFonts w:ascii="Arial" w:hAnsi="Arial" w:cs="Arial"/>
          <w:szCs w:val="24"/>
          <w:lang w:val="en-GB"/>
        </w:rPr>
      </w:pPr>
    </w:p>
    <w:p w:rsidR="00473DE0" w:rsidRPr="00264CFF" w:rsidRDefault="00473DE0" w:rsidP="00264CFF">
      <w:pPr>
        <w:spacing w:after="0" w:line="360" w:lineRule="auto"/>
        <w:jc w:val="both"/>
        <w:rPr>
          <w:rFonts w:ascii="Arial" w:hAnsi="Arial" w:cs="Arial"/>
          <w:b/>
          <w:szCs w:val="24"/>
          <w:lang w:val="en-GB"/>
        </w:rPr>
      </w:pPr>
      <w:r w:rsidRPr="00264CFF">
        <w:rPr>
          <w:rFonts w:ascii="Arial" w:hAnsi="Arial" w:cs="Arial"/>
          <w:b/>
          <w:szCs w:val="24"/>
          <w:lang w:val="en-GB"/>
        </w:rPr>
        <w:t>References</w:t>
      </w:r>
    </w:p>
    <w:p w:rsidR="00473DE0" w:rsidRPr="00264CFF" w:rsidRDefault="00473DE0" w:rsidP="00264CFF">
      <w:pPr>
        <w:pStyle w:val="Prrafodelista"/>
        <w:numPr>
          <w:ilvl w:val="0"/>
          <w:numId w:val="1"/>
        </w:numPr>
        <w:spacing w:after="0" w:line="360" w:lineRule="auto"/>
        <w:ind w:left="0"/>
        <w:jc w:val="both"/>
        <w:rPr>
          <w:rFonts w:ascii="Arial" w:hAnsi="Arial" w:cs="Arial"/>
          <w:szCs w:val="24"/>
          <w:lang w:val="en-GB"/>
        </w:rPr>
      </w:pPr>
      <w:r w:rsidRPr="00264CFF">
        <w:rPr>
          <w:rFonts w:ascii="Arial" w:hAnsi="Arial" w:cs="Arial"/>
          <w:szCs w:val="24"/>
          <w:lang w:val="en-GB"/>
        </w:rPr>
        <w:t xml:space="preserve">Villanueva-Amador et al.; JPRI, 32(16): 139-152, 2020; Article </w:t>
      </w:r>
      <w:proofErr w:type="gramStart"/>
      <w:r w:rsidRPr="00264CFF">
        <w:rPr>
          <w:rFonts w:ascii="Arial" w:hAnsi="Arial" w:cs="Arial"/>
          <w:szCs w:val="24"/>
          <w:lang w:val="en-GB"/>
        </w:rPr>
        <w:t>no.JPRI</w:t>
      </w:r>
      <w:proofErr w:type="gramEnd"/>
      <w:r w:rsidRPr="00264CFF">
        <w:rPr>
          <w:rFonts w:ascii="Arial" w:hAnsi="Arial" w:cs="Arial"/>
          <w:szCs w:val="24"/>
          <w:lang w:val="en-GB"/>
        </w:rPr>
        <w:t>.60198</w:t>
      </w:r>
    </w:p>
    <w:p w:rsidR="00C91D61" w:rsidRPr="00264CFF" w:rsidRDefault="00C91D61" w:rsidP="00264CFF">
      <w:pPr>
        <w:pStyle w:val="Prrafodelista"/>
        <w:numPr>
          <w:ilvl w:val="0"/>
          <w:numId w:val="1"/>
        </w:numPr>
        <w:spacing w:after="0" w:line="360" w:lineRule="auto"/>
        <w:ind w:left="0"/>
        <w:jc w:val="both"/>
        <w:rPr>
          <w:rFonts w:ascii="Arial" w:hAnsi="Arial" w:cs="Arial"/>
          <w:szCs w:val="24"/>
          <w:lang w:val="en-GB"/>
        </w:rPr>
      </w:pPr>
      <w:r w:rsidRPr="00264CFF">
        <w:rPr>
          <w:rFonts w:ascii="Arial" w:hAnsi="Arial" w:cs="Arial"/>
          <w:szCs w:val="24"/>
          <w:lang w:val="en-GB"/>
        </w:rPr>
        <w:t xml:space="preserve">Rates SM. Plants as source of drugs. </w:t>
      </w:r>
      <w:proofErr w:type="spellStart"/>
      <w:r w:rsidRPr="00264CFF">
        <w:rPr>
          <w:rFonts w:ascii="Arial" w:hAnsi="Arial" w:cs="Arial"/>
          <w:szCs w:val="24"/>
          <w:lang w:val="en-GB"/>
        </w:rPr>
        <w:t>Toxicon</w:t>
      </w:r>
      <w:proofErr w:type="spellEnd"/>
      <w:r w:rsidRPr="00264CFF">
        <w:rPr>
          <w:rFonts w:ascii="Arial" w:hAnsi="Arial" w:cs="Arial"/>
          <w:szCs w:val="24"/>
          <w:lang w:val="en-GB"/>
        </w:rPr>
        <w:t>. 2001;39(5):603-63.</w:t>
      </w:r>
    </w:p>
    <w:p w:rsidR="00C91D61" w:rsidRPr="00264CFF" w:rsidRDefault="00C91D61" w:rsidP="00264CFF">
      <w:pPr>
        <w:pStyle w:val="Prrafodelista"/>
        <w:numPr>
          <w:ilvl w:val="0"/>
          <w:numId w:val="1"/>
        </w:numPr>
        <w:spacing w:after="0" w:line="360" w:lineRule="auto"/>
        <w:ind w:left="0"/>
        <w:jc w:val="both"/>
        <w:rPr>
          <w:rFonts w:ascii="Arial" w:hAnsi="Arial" w:cs="Arial"/>
          <w:szCs w:val="24"/>
          <w:lang w:val="en-GB"/>
        </w:rPr>
      </w:pPr>
      <w:r w:rsidRPr="00264CFF">
        <w:rPr>
          <w:rFonts w:ascii="Arial" w:hAnsi="Arial" w:cs="Arial"/>
          <w:szCs w:val="24"/>
          <w:lang w:val="en-GB"/>
        </w:rPr>
        <w:t xml:space="preserve">Kaur H, Mukhtar HM, Singh A, Mahajan A. </w:t>
      </w:r>
      <w:proofErr w:type="spellStart"/>
      <w:r w:rsidRPr="00264CFF">
        <w:rPr>
          <w:rFonts w:ascii="Arial" w:hAnsi="Arial" w:cs="Arial"/>
          <w:szCs w:val="24"/>
          <w:lang w:val="en-GB"/>
        </w:rPr>
        <w:t>Antiplasmodial</w:t>
      </w:r>
      <w:proofErr w:type="spellEnd"/>
      <w:r w:rsidRPr="00264CFF">
        <w:rPr>
          <w:rFonts w:ascii="Arial" w:hAnsi="Arial" w:cs="Arial"/>
          <w:szCs w:val="24"/>
          <w:lang w:val="en-GB"/>
        </w:rPr>
        <w:t xml:space="preserve"> medicinal plants: A literature review on efficacy, selectivity and </w:t>
      </w:r>
      <w:proofErr w:type="spellStart"/>
      <w:r w:rsidRPr="00264CFF">
        <w:rPr>
          <w:rFonts w:ascii="Arial" w:hAnsi="Arial" w:cs="Arial"/>
          <w:szCs w:val="24"/>
          <w:lang w:val="en-GB"/>
        </w:rPr>
        <w:t>phytochemistry</w:t>
      </w:r>
      <w:proofErr w:type="spellEnd"/>
      <w:r w:rsidRPr="00264CFF">
        <w:rPr>
          <w:rFonts w:ascii="Arial" w:hAnsi="Arial" w:cs="Arial"/>
          <w:szCs w:val="24"/>
          <w:lang w:val="en-GB"/>
        </w:rPr>
        <w:t xml:space="preserve"> of crude plant extracts. J </w:t>
      </w:r>
      <w:proofErr w:type="spellStart"/>
      <w:r w:rsidRPr="00264CFF">
        <w:rPr>
          <w:rFonts w:ascii="Arial" w:hAnsi="Arial" w:cs="Arial"/>
          <w:szCs w:val="24"/>
          <w:lang w:val="en-GB"/>
        </w:rPr>
        <w:t>Biol</w:t>
      </w:r>
      <w:proofErr w:type="spellEnd"/>
      <w:r w:rsidRPr="00264CFF">
        <w:rPr>
          <w:rFonts w:ascii="Arial" w:hAnsi="Arial" w:cs="Arial"/>
          <w:szCs w:val="24"/>
          <w:lang w:val="en-GB"/>
        </w:rPr>
        <w:t xml:space="preserve"> Act Prod Nat. 2018;8(5):272-94.</w:t>
      </w:r>
    </w:p>
    <w:p w:rsidR="00C91D61" w:rsidRPr="00264CFF" w:rsidRDefault="00C91D61" w:rsidP="00264CFF">
      <w:pPr>
        <w:pStyle w:val="Prrafodelista"/>
        <w:numPr>
          <w:ilvl w:val="0"/>
          <w:numId w:val="1"/>
        </w:numPr>
        <w:spacing w:after="0" w:line="360" w:lineRule="auto"/>
        <w:ind w:left="0"/>
        <w:jc w:val="both"/>
        <w:rPr>
          <w:rFonts w:ascii="Arial" w:hAnsi="Arial" w:cs="Arial"/>
          <w:szCs w:val="24"/>
          <w:lang w:val="en-GB"/>
        </w:rPr>
      </w:pPr>
      <w:proofErr w:type="spellStart"/>
      <w:r w:rsidRPr="00264CFF">
        <w:rPr>
          <w:rFonts w:ascii="Arial" w:hAnsi="Arial" w:cs="Arial"/>
          <w:szCs w:val="24"/>
          <w:lang w:val="en-GB"/>
        </w:rPr>
        <w:t>Armendáriz-Barragán</w:t>
      </w:r>
      <w:proofErr w:type="spellEnd"/>
      <w:r w:rsidRPr="00264CFF">
        <w:rPr>
          <w:rFonts w:ascii="Arial" w:hAnsi="Arial" w:cs="Arial"/>
          <w:szCs w:val="24"/>
          <w:lang w:val="en-GB"/>
        </w:rPr>
        <w:t xml:space="preserve"> B, Zafar N, </w:t>
      </w:r>
      <w:proofErr w:type="spellStart"/>
      <w:r w:rsidRPr="00264CFF">
        <w:rPr>
          <w:rFonts w:ascii="Arial" w:hAnsi="Arial" w:cs="Arial"/>
          <w:szCs w:val="24"/>
          <w:lang w:val="en-GB"/>
        </w:rPr>
        <w:t>Badri</w:t>
      </w:r>
      <w:proofErr w:type="spellEnd"/>
      <w:r w:rsidRPr="00264CFF">
        <w:rPr>
          <w:rFonts w:ascii="Arial" w:hAnsi="Arial" w:cs="Arial"/>
          <w:szCs w:val="24"/>
          <w:lang w:val="en-GB"/>
        </w:rPr>
        <w:t xml:space="preserve"> W, Galindo-Rodríguez SA, </w:t>
      </w:r>
      <w:proofErr w:type="spellStart"/>
      <w:r w:rsidRPr="00264CFF">
        <w:rPr>
          <w:rFonts w:ascii="Arial" w:hAnsi="Arial" w:cs="Arial"/>
          <w:szCs w:val="24"/>
          <w:lang w:val="en-GB"/>
        </w:rPr>
        <w:t>Kabbaj</w:t>
      </w:r>
      <w:proofErr w:type="spellEnd"/>
      <w:r w:rsidRPr="00264CFF">
        <w:rPr>
          <w:rFonts w:ascii="Arial" w:hAnsi="Arial" w:cs="Arial"/>
          <w:szCs w:val="24"/>
          <w:lang w:val="en-GB"/>
        </w:rPr>
        <w:t xml:space="preserve"> D, </w:t>
      </w:r>
      <w:proofErr w:type="spellStart"/>
      <w:r w:rsidRPr="00264CFF">
        <w:rPr>
          <w:rFonts w:ascii="Arial" w:hAnsi="Arial" w:cs="Arial"/>
          <w:szCs w:val="24"/>
          <w:lang w:val="en-GB"/>
        </w:rPr>
        <w:t>Fessi</w:t>
      </w:r>
      <w:proofErr w:type="spellEnd"/>
      <w:r w:rsidRPr="00264CFF">
        <w:rPr>
          <w:rFonts w:ascii="Arial" w:hAnsi="Arial" w:cs="Arial"/>
          <w:szCs w:val="24"/>
          <w:lang w:val="en-GB"/>
        </w:rPr>
        <w:t xml:space="preserve"> H, et al. Plant extracts: From encapsulation to application. Expert </w:t>
      </w:r>
      <w:proofErr w:type="spellStart"/>
      <w:r w:rsidRPr="00264CFF">
        <w:rPr>
          <w:rFonts w:ascii="Arial" w:hAnsi="Arial" w:cs="Arial"/>
          <w:szCs w:val="24"/>
          <w:lang w:val="en-GB"/>
        </w:rPr>
        <w:t>Opin</w:t>
      </w:r>
      <w:proofErr w:type="spellEnd"/>
      <w:r w:rsidRPr="00264CFF">
        <w:rPr>
          <w:rFonts w:ascii="Arial" w:hAnsi="Arial" w:cs="Arial"/>
          <w:szCs w:val="24"/>
          <w:lang w:val="en-GB"/>
        </w:rPr>
        <w:t xml:space="preserve"> Drug </w:t>
      </w:r>
      <w:proofErr w:type="spellStart"/>
      <w:r w:rsidRPr="00264CFF">
        <w:rPr>
          <w:rFonts w:ascii="Arial" w:hAnsi="Arial" w:cs="Arial"/>
          <w:szCs w:val="24"/>
          <w:lang w:val="en-GB"/>
        </w:rPr>
        <w:t>Deliv</w:t>
      </w:r>
      <w:proofErr w:type="spellEnd"/>
      <w:r w:rsidRPr="00264CFF">
        <w:rPr>
          <w:rFonts w:ascii="Arial" w:hAnsi="Arial" w:cs="Arial"/>
          <w:szCs w:val="24"/>
          <w:lang w:val="en-GB"/>
        </w:rPr>
        <w:t>. 2016; 13(8):1165-75.</w:t>
      </w:r>
    </w:p>
    <w:p w:rsidR="00C91D61" w:rsidRPr="00264CFF" w:rsidRDefault="00C91D61" w:rsidP="00264CFF">
      <w:pPr>
        <w:pStyle w:val="Prrafodelista"/>
        <w:numPr>
          <w:ilvl w:val="0"/>
          <w:numId w:val="1"/>
        </w:numPr>
        <w:spacing w:after="0" w:line="360" w:lineRule="auto"/>
        <w:ind w:left="0"/>
        <w:jc w:val="both"/>
        <w:rPr>
          <w:rFonts w:ascii="Arial" w:hAnsi="Arial" w:cs="Arial"/>
          <w:szCs w:val="24"/>
          <w:lang w:val="en-GB"/>
        </w:rPr>
      </w:pPr>
      <w:r w:rsidRPr="00264CFF">
        <w:rPr>
          <w:rFonts w:ascii="Arial" w:hAnsi="Arial" w:cs="Arial"/>
          <w:szCs w:val="24"/>
          <w:lang w:val="en-GB"/>
        </w:rPr>
        <w:t>World Health Organization. The world traditional medicines situation, in traditional medicines: Global situation, issues and challenges; 2011.</w:t>
      </w:r>
    </w:p>
    <w:p w:rsidR="00C91D61" w:rsidRPr="00264CFF" w:rsidRDefault="00C91D61" w:rsidP="00264CFF">
      <w:pPr>
        <w:pStyle w:val="Prrafodelista"/>
        <w:spacing w:after="0" w:line="360" w:lineRule="auto"/>
        <w:ind w:left="0"/>
        <w:jc w:val="both"/>
        <w:rPr>
          <w:rFonts w:ascii="Arial" w:hAnsi="Arial" w:cs="Arial"/>
          <w:szCs w:val="24"/>
          <w:lang w:val="en-GB"/>
        </w:rPr>
      </w:pPr>
      <w:r w:rsidRPr="00264CFF">
        <w:rPr>
          <w:rFonts w:ascii="Arial" w:hAnsi="Arial" w:cs="Arial"/>
          <w:szCs w:val="24"/>
          <w:lang w:val="en-GB"/>
        </w:rPr>
        <w:t>Available:http://digicollection.org/hss/documents/s18063en/s18063en.pdf</w:t>
      </w:r>
      <w:r w:rsidRPr="00264CFF">
        <w:rPr>
          <w:rFonts w:ascii="Arial" w:hAnsi="Arial" w:cs="Arial"/>
          <w:szCs w:val="24"/>
          <w:lang w:val="en-GB"/>
        </w:rPr>
        <w:t xml:space="preserve"> Accessed</w:t>
      </w:r>
      <w:r w:rsidRPr="00264CFF">
        <w:rPr>
          <w:rFonts w:ascii="Arial" w:hAnsi="Arial" w:cs="Arial"/>
          <w:szCs w:val="24"/>
          <w:lang w:val="en-GB"/>
        </w:rPr>
        <w:t xml:space="preserve"> 8 April 2020.</w:t>
      </w:r>
    </w:p>
    <w:p w:rsidR="00473DE0" w:rsidRPr="00264CFF" w:rsidRDefault="00C91D61" w:rsidP="00264CFF">
      <w:pPr>
        <w:pStyle w:val="Prrafodelista"/>
        <w:numPr>
          <w:ilvl w:val="0"/>
          <w:numId w:val="1"/>
        </w:numPr>
        <w:spacing w:after="0" w:line="360" w:lineRule="auto"/>
        <w:ind w:left="0"/>
        <w:jc w:val="both"/>
        <w:rPr>
          <w:rFonts w:ascii="Arial" w:hAnsi="Arial" w:cs="Arial"/>
          <w:szCs w:val="24"/>
          <w:lang w:val="en-GB"/>
        </w:rPr>
      </w:pPr>
      <w:r w:rsidRPr="00264CFF">
        <w:rPr>
          <w:rFonts w:ascii="Arial" w:hAnsi="Arial" w:cs="Arial"/>
          <w:szCs w:val="24"/>
          <w:lang w:val="en-GB"/>
        </w:rPr>
        <w:t>Shu YZ. Recent natural products based drug development: A pharmaceutical industry perspective. J Nat Prod. 1998; 61(8):1053-71.</w:t>
      </w:r>
    </w:p>
    <w:p w:rsidR="00C91D61" w:rsidRPr="00264CFF" w:rsidRDefault="00C91D61" w:rsidP="00264CFF">
      <w:pPr>
        <w:spacing w:after="0" w:line="360" w:lineRule="auto"/>
        <w:jc w:val="both"/>
        <w:rPr>
          <w:rFonts w:ascii="Arial" w:hAnsi="Arial" w:cs="Arial"/>
          <w:szCs w:val="24"/>
          <w:lang w:val="en-GB"/>
        </w:rPr>
      </w:pPr>
    </w:p>
    <w:p w:rsidR="00264CFF" w:rsidRPr="00264CFF" w:rsidRDefault="00722A47" w:rsidP="00264CFF">
      <w:pPr>
        <w:spacing w:after="0" w:line="360" w:lineRule="auto"/>
        <w:jc w:val="both"/>
        <w:rPr>
          <w:rFonts w:ascii="Arial" w:hAnsi="Arial" w:cs="Arial"/>
          <w:szCs w:val="24"/>
          <w:lang w:val="en-GB"/>
        </w:rPr>
      </w:pPr>
      <w:bookmarkStart w:id="0" w:name="_GoBack"/>
      <w:r>
        <w:rPr>
          <w:rFonts w:ascii="Arial" w:hAnsi="Arial" w:cs="Arial"/>
          <w:noProof/>
          <w:szCs w:val="24"/>
          <w:lang w:val="en-US"/>
        </w:rPr>
        <w:drawing>
          <wp:anchor distT="0" distB="0" distL="114300" distR="114300" simplePos="0" relativeHeight="251666432" behindDoc="0" locked="0" layoutInCell="1" allowOverlap="1" wp14:anchorId="1EE1E1BA" wp14:editId="5A9D646D">
            <wp:simplePos x="0" y="0"/>
            <wp:positionH relativeFrom="margin">
              <wp:align>right</wp:align>
            </wp:positionH>
            <wp:positionV relativeFrom="paragraph">
              <wp:posOffset>765810</wp:posOffset>
            </wp:positionV>
            <wp:extent cx="1619250" cy="2015967"/>
            <wp:effectExtent l="0" t="0" r="0" b="381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S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19250" cy="2015967"/>
                    </a:xfrm>
                    <a:prstGeom prst="rect">
                      <a:avLst/>
                    </a:prstGeom>
                  </pic:spPr>
                </pic:pic>
              </a:graphicData>
            </a:graphic>
            <wp14:sizeRelH relativeFrom="margin">
              <wp14:pctWidth>0</wp14:pctWidth>
            </wp14:sizeRelH>
            <wp14:sizeRelV relativeFrom="margin">
              <wp14:pctHeight>0</wp14:pctHeight>
            </wp14:sizeRelV>
          </wp:anchor>
        </w:drawing>
      </w:r>
      <w:bookmarkEnd w:id="0"/>
      <w:r w:rsidR="00264CFF" w:rsidRPr="00264CFF">
        <w:rPr>
          <w:rFonts w:ascii="Arial" w:hAnsi="Arial" w:cs="Arial"/>
          <w:noProof/>
          <w:szCs w:val="24"/>
          <w:lang w:val="en-US"/>
        </w:rPr>
        <w:drawing>
          <wp:anchor distT="0" distB="0" distL="114300" distR="114300" simplePos="0" relativeHeight="251664384" behindDoc="0" locked="0" layoutInCell="1" allowOverlap="1" wp14:anchorId="31D36B48" wp14:editId="16C76421">
            <wp:simplePos x="0" y="0"/>
            <wp:positionH relativeFrom="margin">
              <wp:posOffset>1815466</wp:posOffset>
            </wp:positionH>
            <wp:positionV relativeFrom="paragraph">
              <wp:posOffset>669290</wp:posOffset>
            </wp:positionV>
            <wp:extent cx="1809750" cy="215355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de_la_UASLP.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14000" cy="2158615"/>
                    </a:xfrm>
                    <a:prstGeom prst="rect">
                      <a:avLst/>
                    </a:prstGeom>
                  </pic:spPr>
                </pic:pic>
              </a:graphicData>
            </a:graphic>
            <wp14:sizeRelH relativeFrom="margin">
              <wp14:pctWidth>0</wp14:pctWidth>
            </wp14:sizeRelH>
            <wp14:sizeRelV relativeFrom="margin">
              <wp14:pctHeight>0</wp14:pctHeight>
            </wp14:sizeRelV>
          </wp:anchor>
        </w:drawing>
      </w:r>
      <w:r w:rsidR="00264CFF" w:rsidRPr="00264CFF">
        <w:rPr>
          <w:rFonts w:ascii="Arial" w:hAnsi="Arial" w:cs="Arial"/>
          <w:szCs w:val="24"/>
          <w:lang w:val="en-US"/>
        </w:rPr>
        <w:drawing>
          <wp:anchor distT="0" distB="0" distL="114300" distR="114300" simplePos="0" relativeHeight="251665408" behindDoc="0" locked="0" layoutInCell="1" allowOverlap="1" wp14:anchorId="6D27759B" wp14:editId="1DD7A543">
            <wp:simplePos x="0" y="0"/>
            <wp:positionH relativeFrom="column">
              <wp:posOffset>-260985</wp:posOffset>
            </wp:positionH>
            <wp:positionV relativeFrom="paragraph">
              <wp:posOffset>612140</wp:posOffset>
            </wp:positionV>
            <wp:extent cx="1972945" cy="2217420"/>
            <wp:effectExtent l="0" t="0" r="8255" b="0"/>
            <wp:wrapNone/>
            <wp:docPr id="2054" name="Picture 6" descr="Resultado de imagen para escudo una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Resultado de imagen para escudo unam 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2945" cy="221742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sectPr w:rsidR="00264CFF" w:rsidRPr="00264C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3A4D35"/>
    <w:multiLevelType w:val="hybridMultilevel"/>
    <w:tmpl w:val="51B88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9B3"/>
    <w:rsid w:val="00264CFF"/>
    <w:rsid w:val="004439B3"/>
    <w:rsid w:val="00473DE0"/>
    <w:rsid w:val="00722A47"/>
    <w:rsid w:val="00C91D61"/>
    <w:rsid w:val="00F40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EE6E"/>
  <w15:chartTrackingRefBased/>
  <w15:docId w15:val="{8215BDF1-DA40-485F-AA14-DB8FFF66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439B3"/>
    <w:pPr>
      <w:autoSpaceDE w:val="0"/>
      <w:autoSpaceDN w:val="0"/>
      <w:adjustRightInd w:val="0"/>
      <w:spacing w:after="0" w:line="240" w:lineRule="auto"/>
    </w:pPr>
    <w:rPr>
      <w:rFonts w:ascii="Arial" w:hAnsi="Arial" w:cs="Arial"/>
      <w:color w:val="000000"/>
      <w:sz w:val="24"/>
      <w:szCs w:val="24"/>
    </w:rPr>
  </w:style>
  <w:style w:type="character" w:customStyle="1" w:styleId="markedcontent">
    <w:name w:val="markedcontent"/>
    <w:basedOn w:val="Fuentedeprrafopredeter"/>
    <w:rsid w:val="004439B3"/>
  </w:style>
  <w:style w:type="paragraph" w:styleId="Prrafodelista">
    <w:name w:val="List Paragraph"/>
    <w:basedOn w:val="Normal"/>
    <w:uiPriority w:val="34"/>
    <w:qFormat/>
    <w:rsid w:val="00264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96449">
      <w:bodyDiv w:val="1"/>
      <w:marLeft w:val="0"/>
      <w:marRight w:val="0"/>
      <w:marTop w:val="0"/>
      <w:marBottom w:val="0"/>
      <w:divBdr>
        <w:top w:val="none" w:sz="0" w:space="0" w:color="auto"/>
        <w:left w:val="none" w:sz="0" w:space="0" w:color="auto"/>
        <w:bottom w:val="none" w:sz="0" w:space="0" w:color="auto"/>
        <w:right w:val="none" w:sz="0" w:space="0" w:color="auto"/>
      </w:divBdr>
    </w:div>
    <w:div w:id="37894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2554</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Getsemaní Sinaí</dc:creator>
  <cp:keywords/>
  <dc:description/>
  <cp:lastModifiedBy>Getsemaní Sinaí</cp:lastModifiedBy>
  <cp:revision>2</cp:revision>
  <dcterms:created xsi:type="dcterms:W3CDTF">2022-05-04T14:03:00Z</dcterms:created>
  <dcterms:modified xsi:type="dcterms:W3CDTF">2022-05-04T14:03:00Z</dcterms:modified>
</cp:coreProperties>
</file>