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DEEB8" w14:textId="1B2B6B9A" w:rsidR="00E4678E" w:rsidRPr="00BD0386" w:rsidRDefault="00E4678E" w:rsidP="00E4678E">
      <w:pPr>
        <w:rPr>
          <w:b/>
          <w:caps/>
          <w:sz w:val="24"/>
          <w:szCs w:val="24"/>
          <w:lang w:val="en-ZA"/>
        </w:rPr>
      </w:pPr>
      <w:r w:rsidRPr="00BD0386">
        <w:rPr>
          <w:b/>
          <w:caps/>
          <w:sz w:val="24"/>
          <w:szCs w:val="24"/>
          <w:lang w:val="en-ZA"/>
        </w:rPr>
        <w:t xml:space="preserve">Estimation of the preliminary screening of phytochemicals, </w:t>
      </w:r>
      <w:r>
        <w:rPr>
          <w:b/>
          <w:caps/>
          <w:sz w:val="24"/>
          <w:szCs w:val="24"/>
          <w:lang w:val="en-ZA"/>
        </w:rPr>
        <w:t xml:space="preserve">total phenolic content, total flavonoid content, </w:t>
      </w:r>
      <w:r w:rsidRPr="00BD0386">
        <w:rPr>
          <w:b/>
          <w:caps/>
          <w:sz w:val="24"/>
          <w:szCs w:val="24"/>
          <w:lang w:val="en-ZA"/>
        </w:rPr>
        <w:t xml:space="preserve">antioxidant and alpha-amylase inhibitory activities of the selected South African plant extracts for medicinal </w:t>
      </w:r>
      <w:r>
        <w:rPr>
          <w:b/>
          <w:caps/>
          <w:sz w:val="24"/>
          <w:szCs w:val="24"/>
          <w:lang w:val="en-ZA"/>
        </w:rPr>
        <w:t>purposes</w:t>
      </w:r>
      <w:r w:rsidRPr="00BD0386">
        <w:rPr>
          <w:b/>
          <w:caps/>
          <w:sz w:val="24"/>
          <w:szCs w:val="24"/>
          <w:lang w:val="en-ZA"/>
        </w:rPr>
        <w:t>.</w:t>
      </w:r>
    </w:p>
    <w:p w14:paraId="7D6BFAE2" w14:textId="0BB38C9E" w:rsidR="00E4678E" w:rsidRPr="002A5509" w:rsidRDefault="00E4678E" w:rsidP="00E4678E">
      <w:pPr>
        <w:widowControl w:val="0"/>
        <w:spacing w:after="200"/>
        <w:jc w:val="center"/>
        <w:rPr>
          <w:rFonts w:eastAsia="Calibri"/>
          <w:b/>
          <w:color w:val="000000"/>
          <w:sz w:val="24"/>
          <w:szCs w:val="24"/>
          <w:lang w:val="en-ZA" w:eastAsia="en-ZA"/>
        </w:rPr>
      </w:pPr>
      <w:r w:rsidRPr="00B55206">
        <w:rPr>
          <w:rFonts w:eastAsia="Calibri"/>
          <w:color w:val="000000" w:themeColor="text1"/>
          <w:sz w:val="24"/>
          <w:szCs w:val="24"/>
          <w:lang w:val="en-ZA" w:eastAsia="en-ZA"/>
        </w:rPr>
        <w:t>Nkala, B.A,</w:t>
      </w:r>
      <w:r w:rsidRPr="00D764FD">
        <w:rPr>
          <w:rFonts w:eastAsia="Calibri"/>
          <w:color w:val="000000" w:themeColor="text1"/>
          <w:sz w:val="24"/>
          <w:szCs w:val="24"/>
          <w:vertAlign w:val="superscript"/>
          <w:lang w:val="en-ZA" w:eastAsia="en-ZA"/>
        </w:rPr>
        <w:t>1</w:t>
      </w:r>
      <w:r>
        <w:rPr>
          <w:rFonts w:eastAsia="Calibri"/>
          <w:color w:val="000000" w:themeColor="text1"/>
          <w:sz w:val="24"/>
          <w:szCs w:val="24"/>
          <w:vertAlign w:val="superscript"/>
          <w:lang w:val="en-ZA" w:eastAsia="en-ZA"/>
        </w:rPr>
        <w:t>, 2</w:t>
      </w:r>
    </w:p>
    <w:p w14:paraId="781FBA50" w14:textId="77777777" w:rsidR="00934839" w:rsidRDefault="00E4678E" w:rsidP="00E4678E">
      <w:pPr>
        <w:widowControl w:val="0"/>
        <w:spacing w:after="200"/>
        <w:jc w:val="center"/>
        <w:rPr>
          <w:rFonts w:eastAsia="Calibri"/>
          <w:i/>
          <w:color w:val="000000"/>
          <w:sz w:val="24"/>
          <w:szCs w:val="24"/>
          <w:lang w:val="en-ZA" w:eastAsia="en-ZA"/>
        </w:rPr>
      </w:pPr>
      <w:r w:rsidRPr="002A5509">
        <w:rPr>
          <w:rFonts w:eastAsia="Calibri"/>
          <w:i/>
          <w:color w:val="000000"/>
          <w:sz w:val="24"/>
          <w:szCs w:val="24"/>
          <w:vertAlign w:val="superscript"/>
          <w:lang w:val="en-ZA" w:eastAsia="en-ZA"/>
        </w:rPr>
        <w:t>1</w:t>
      </w:r>
      <w:r w:rsidRPr="002A5509">
        <w:rPr>
          <w:rFonts w:eastAsia="Calibri"/>
          <w:i/>
          <w:color w:val="000000"/>
          <w:sz w:val="24"/>
          <w:szCs w:val="24"/>
          <w:lang w:val="en-ZA" w:eastAsia="en-ZA"/>
        </w:rPr>
        <w:t xml:space="preserve">Department of </w:t>
      </w:r>
      <w:r>
        <w:rPr>
          <w:rFonts w:eastAsia="Calibri"/>
          <w:i/>
          <w:color w:val="000000"/>
          <w:sz w:val="24"/>
          <w:szCs w:val="24"/>
          <w:lang w:val="en-ZA" w:eastAsia="en-ZA"/>
        </w:rPr>
        <w:t>Natural Sciences,</w:t>
      </w:r>
      <w:r w:rsidR="003E2F1C">
        <w:rPr>
          <w:rFonts w:eastAsia="Calibri"/>
          <w:i/>
          <w:color w:val="000000"/>
          <w:sz w:val="24"/>
          <w:szCs w:val="24"/>
          <w:lang w:val="en-ZA" w:eastAsia="en-ZA"/>
        </w:rPr>
        <w:t xml:space="preserve"> Integrative Medicine Research </w:t>
      </w:r>
      <w:r w:rsidR="00934839">
        <w:rPr>
          <w:rFonts w:eastAsia="Calibri"/>
          <w:i/>
          <w:color w:val="000000"/>
          <w:sz w:val="24"/>
          <w:szCs w:val="24"/>
          <w:lang w:val="en-ZA" w:eastAsia="en-ZA"/>
        </w:rPr>
        <w:t>Unit, Faculty</w:t>
      </w:r>
      <w:r>
        <w:rPr>
          <w:rFonts w:eastAsia="Calibri"/>
          <w:i/>
          <w:color w:val="000000"/>
          <w:sz w:val="24"/>
          <w:szCs w:val="24"/>
          <w:lang w:val="en-ZA" w:eastAsia="en-ZA"/>
        </w:rPr>
        <w:t xml:space="preserve"> of Health Sciences, 50 Church Street, East London, 5200, </w:t>
      </w:r>
      <w:r w:rsidRPr="002A5509">
        <w:rPr>
          <w:rFonts w:eastAsia="Calibri"/>
          <w:i/>
          <w:color w:val="000000"/>
          <w:sz w:val="24"/>
          <w:szCs w:val="24"/>
          <w:lang w:val="en-ZA" w:eastAsia="en-ZA"/>
        </w:rPr>
        <w:t>4001, South Africa</w:t>
      </w:r>
      <w:r>
        <w:rPr>
          <w:rFonts w:eastAsia="Calibri"/>
          <w:i/>
          <w:color w:val="000000"/>
          <w:sz w:val="24"/>
          <w:szCs w:val="24"/>
          <w:lang w:val="en-ZA" w:eastAsia="en-ZA"/>
        </w:rPr>
        <w:t xml:space="preserve">. </w:t>
      </w:r>
    </w:p>
    <w:p w14:paraId="245315C7" w14:textId="054661B9" w:rsidR="00E4678E" w:rsidRPr="007C2F4F" w:rsidRDefault="00E4678E" w:rsidP="00E4678E">
      <w:pPr>
        <w:widowControl w:val="0"/>
        <w:spacing w:after="200"/>
        <w:jc w:val="center"/>
        <w:rPr>
          <w:rFonts w:eastAsia="Calibri"/>
          <w:i/>
          <w:color w:val="000000"/>
          <w:sz w:val="24"/>
          <w:szCs w:val="24"/>
          <w:lang w:val="en-ZA" w:eastAsia="en-ZA"/>
        </w:rPr>
      </w:pPr>
      <w:r w:rsidRPr="007C2F4F">
        <w:rPr>
          <w:rFonts w:eastAsia="Calibri"/>
          <w:i/>
          <w:color w:val="000000"/>
          <w:sz w:val="24"/>
          <w:szCs w:val="24"/>
          <w:lang w:val="en-ZA" w:eastAsia="en-ZA"/>
        </w:rPr>
        <w:t xml:space="preserve">Email: </w:t>
      </w:r>
      <w:hyperlink r:id="rId4" w:history="1">
        <w:r w:rsidRPr="0034501C">
          <w:rPr>
            <w:rStyle w:val="Hyperlink"/>
            <w:rFonts w:eastAsia="Calibri"/>
            <w:i/>
            <w:sz w:val="24"/>
            <w:szCs w:val="24"/>
            <w:lang w:val="en-ZA" w:eastAsia="en-ZA"/>
          </w:rPr>
          <w:t>bnkala@ufh.ac.za</w:t>
        </w:r>
      </w:hyperlink>
      <w:r>
        <w:rPr>
          <w:rFonts w:eastAsia="Calibri"/>
          <w:i/>
          <w:color w:val="000000"/>
          <w:sz w:val="24"/>
          <w:szCs w:val="24"/>
          <w:lang w:val="en-ZA" w:eastAsia="en-ZA"/>
        </w:rPr>
        <w:t xml:space="preserve"> </w:t>
      </w:r>
    </w:p>
    <w:p w14:paraId="2277462A" w14:textId="7EDC8322" w:rsidR="00E4678E" w:rsidRPr="007C2F4F" w:rsidRDefault="00E4678E" w:rsidP="00E4678E">
      <w:pPr>
        <w:widowControl w:val="0"/>
        <w:spacing w:after="200"/>
        <w:jc w:val="center"/>
        <w:rPr>
          <w:rFonts w:eastAsia="Calibri"/>
          <w:i/>
          <w:color w:val="000000"/>
          <w:sz w:val="24"/>
          <w:szCs w:val="24"/>
          <w:lang w:val="en-ZA" w:eastAsia="en-ZA"/>
        </w:rPr>
      </w:pPr>
      <w:r w:rsidRPr="007C2F4F">
        <w:rPr>
          <w:rFonts w:eastAsia="Calibri"/>
          <w:i/>
          <w:color w:val="000000"/>
          <w:sz w:val="24"/>
          <w:szCs w:val="24"/>
          <w:vertAlign w:val="superscript"/>
          <w:lang w:val="en-ZA" w:eastAsia="en-ZA"/>
        </w:rPr>
        <w:t>2</w:t>
      </w:r>
      <w:r>
        <w:rPr>
          <w:rFonts w:eastAsia="Calibri"/>
          <w:i/>
          <w:color w:val="000000"/>
          <w:sz w:val="24"/>
          <w:szCs w:val="24"/>
          <w:lang w:val="en-ZA" w:eastAsia="en-ZA"/>
        </w:rPr>
        <w:t xml:space="preserve">Eduvos Institute, 44 Alsatian Road, Glen Austin AH, </w:t>
      </w:r>
      <w:proofErr w:type="spellStart"/>
      <w:r>
        <w:rPr>
          <w:rFonts w:eastAsia="Calibri"/>
          <w:i/>
          <w:color w:val="000000"/>
          <w:sz w:val="24"/>
          <w:szCs w:val="24"/>
          <w:lang w:val="en-ZA" w:eastAsia="en-ZA"/>
        </w:rPr>
        <w:t>Midrand</w:t>
      </w:r>
      <w:proofErr w:type="spellEnd"/>
      <w:r>
        <w:rPr>
          <w:rFonts w:eastAsia="Calibri"/>
          <w:i/>
          <w:color w:val="000000"/>
          <w:sz w:val="24"/>
          <w:szCs w:val="24"/>
          <w:lang w:val="en-ZA" w:eastAsia="en-ZA"/>
        </w:rPr>
        <w:t>, 1685, South Africa</w:t>
      </w:r>
      <w:r w:rsidRPr="007C2F4F">
        <w:rPr>
          <w:rFonts w:eastAsia="Calibri"/>
          <w:i/>
          <w:color w:val="000000"/>
          <w:sz w:val="24"/>
          <w:szCs w:val="24"/>
          <w:lang w:val="en-ZA" w:eastAsia="en-ZA"/>
        </w:rPr>
        <w:t xml:space="preserve"> </w:t>
      </w:r>
    </w:p>
    <w:p w14:paraId="54CB8F0D" w14:textId="77777777" w:rsidR="00E4678E" w:rsidRPr="007C2F4F" w:rsidRDefault="00E4678E" w:rsidP="00E4678E">
      <w:pPr>
        <w:rPr>
          <w:sz w:val="24"/>
          <w:szCs w:val="24"/>
        </w:rPr>
      </w:pPr>
    </w:p>
    <w:p w14:paraId="203BBEBD" w14:textId="77777777" w:rsidR="00E4678E" w:rsidRPr="007C2F4F" w:rsidRDefault="00E4678E" w:rsidP="00E4678E">
      <w:pPr>
        <w:spacing w:line="360" w:lineRule="auto"/>
        <w:jc w:val="center"/>
        <w:rPr>
          <w:b/>
          <w:caps/>
          <w:sz w:val="24"/>
          <w:szCs w:val="24"/>
        </w:rPr>
      </w:pPr>
      <w:r w:rsidRPr="007C2F4F">
        <w:rPr>
          <w:b/>
          <w:caps/>
          <w:sz w:val="24"/>
          <w:szCs w:val="24"/>
        </w:rPr>
        <w:t>Abstract</w:t>
      </w:r>
    </w:p>
    <w:p w14:paraId="2F112A69" w14:textId="75BC73B7" w:rsidR="00E4678E" w:rsidRPr="00BD0386" w:rsidRDefault="00E4678E" w:rsidP="00E4678E">
      <w:pPr>
        <w:spacing w:line="360" w:lineRule="auto"/>
        <w:jc w:val="both"/>
        <w:rPr>
          <w:sz w:val="24"/>
          <w:szCs w:val="24"/>
        </w:rPr>
      </w:pPr>
      <w:r w:rsidRPr="007C2F4F">
        <w:rPr>
          <w:color w:val="000000" w:themeColor="text1"/>
          <w:sz w:val="24"/>
          <w:szCs w:val="24"/>
        </w:rPr>
        <w:t xml:space="preserve">Medicinal plants serve as important sources of pharmaceutical, </w:t>
      </w:r>
      <w:r w:rsidR="003E2F1C" w:rsidRPr="007C2F4F">
        <w:rPr>
          <w:color w:val="000000" w:themeColor="text1"/>
          <w:sz w:val="24"/>
          <w:szCs w:val="24"/>
        </w:rPr>
        <w:t>cosmetic,</w:t>
      </w:r>
      <w:r w:rsidRPr="007C2F4F">
        <w:rPr>
          <w:color w:val="000000" w:themeColor="text1"/>
          <w:sz w:val="24"/>
          <w:szCs w:val="24"/>
        </w:rPr>
        <w:t xml:space="preserve"> and traditional medicine. Natural products continue to play a significant role in drug discovery and development. Bioactive compounds, which naturally </w:t>
      </w:r>
      <w:r>
        <w:rPr>
          <w:color w:val="000000" w:themeColor="text1"/>
          <w:sz w:val="24"/>
          <w:szCs w:val="24"/>
        </w:rPr>
        <w:t>occur</w:t>
      </w:r>
      <w:r w:rsidRPr="007C2F4F">
        <w:rPr>
          <w:color w:val="000000" w:themeColor="text1"/>
          <w:sz w:val="24"/>
          <w:szCs w:val="24"/>
        </w:rPr>
        <w:t xml:space="preserve"> in medicinal plants, such as antioxidants, play a vital role in scavenging free radicals. </w:t>
      </w:r>
      <w:r>
        <w:rPr>
          <w:color w:val="000000" w:themeColor="text1"/>
          <w:sz w:val="24"/>
          <w:szCs w:val="24"/>
        </w:rPr>
        <w:t>T</w:t>
      </w:r>
      <w:r w:rsidRPr="00AC13F0">
        <w:rPr>
          <w:sz w:val="24"/>
          <w:szCs w:val="24"/>
          <w:shd w:val="clear" w:color="auto" w:fill="FFFFFB"/>
        </w:rPr>
        <w:t xml:space="preserve">he purpose of this study was to evaluate preliminary phytochemicals, </w:t>
      </w:r>
      <w:r>
        <w:rPr>
          <w:sz w:val="24"/>
          <w:szCs w:val="24"/>
          <w:shd w:val="clear" w:color="auto" w:fill="FFFFFB"/>
        </w:rPr>
        <w:t xml:space="preserve">total phenolic content, total flavonoid content, </w:t>
      </w:r>
      <w:r w:rsidRPr="00AC13F0">
        <w:rPr>
          <w:sz w:val="24"/>
          <w:szCs w:val="24"/>
          <w:shd w:val="clear" w:color="auto" w:fill="FFFFFB"/>
        </w:rPr>
        <w:t>antioxidants</w:t>
      </w:r>
      <w:r>
        <w:rPr>
          <w:sz w:val="24"/>
          <w:szCs w:val="24"/>
          <w:shd w:val="clear" w:color="auto" w:fill="FFFFFB"/>
        </w:rPr>
        <w:t xml:space="preserve">, </w:t>
      </w:r>
      <w:r w:rsidRPr="00AC13F0">
        <w:rPr>
          <w:sz w:val="24"/>
          <w:szCs w:val="24"/>
          <w:shd w:val="clear" w:color="auto" w:fill="FFFFFB"/>
        </w:rPr>
        <w:t>and alpha</w:t>
      </w:r>
      <w:r>
        <w:rPr>
          <w:sz w:val="24"/>
          <w:szCs w:val="24"/>
          <w:shd w:val="clear" w:color="auto" w:fill="FFFFFB"/>
        </w:rPr>
        <w:t xml:space="preserve"> (α)</w:t>
      </w:r>
      <w:r w:rsidRPr="00AC13F0">
        <w:rPr>
          <w:sz w:val="24"/>
          <w:szCs w:val="24"/>
          <w:shd w:val="clear" w:color="auto" w:fill="FFFFFB"/>
        </w:rPr>
        <w:t>-amylase potential on selected South Africa</w:t>
      </w:r>
      <w:r>
        <w:rPr>
          <w:sz w:val="24"/>
          <w:szCs w:val="24"/>
          <w:shd w:val="clear" w:color="auto" w:fill="FFFFFB"/>
        </w:rPr>
        <w:t>n</w:t>
      </w:r>
      <w:r w:rsidRPr="00AC13F0">
        <w:rPr>
          <w:sz w:val="24"/>
          <w:szCs w:val="24"/>
          <w:shd w:val="clear" w:color="auto" w:fill="FFFFFB"/>
        </w:rPr>
        <w:t xml:space="preserve"> plant extracts.  </w:t>
      </w:r>
    </w:p>
    <w:p w14:paraId="4094B824" w14:textId="6876BCED" w:rsidR="00E4678E" w:rsidRPr="007C2F4F" w:rsidRDefault="00E4678E" w:rsidP="00E4678E">
      <w:pPr>
        <w:spacing w:line="360" w:lineRule="auto"/>
        <w:jc w:val="both"/>
        <w:rPr>
          <w:sz w:val="24"/>
          <w:szCs w:val="24"/>
        </w:rPr>
      </w:pP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In qualitative analysis, the phytochemical compounds such as </w:t>
      </w:r>
      <w:r>
        <w:rPr>
          <w:color w:val="000000" w:themeColor="text1"/>
          <w:sz w:val="24"/>
          <w:szCs w:val="24"/>
          <w:shd w:val="clear" w:color="auto" w:fill="FFFFFB"/>
        </w:rPr>
        <w:t>t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annins, </w:t>
      </w:r>
      <w:r>
        <w:rPr>
          <w:color w:val="000000" w:themeColor="text1"/>
          <w:sz w:val="24"/>
          <w:szCs w:val="24"/>
          <w:shd w:val="clear" w:color="auto" w:fill="FFFFFB"/>
        </w:rPr>
        <w:t>s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aponins, </w:t>
      </w:r>
      <w:r>
        <w:rPr>
          <w:color w:val="000000" w:themeColor="text1"/>
          <w:sz w:val="24"/>
          <w:szCs w:val="24"/>
          <w:shd w:val="clear" w:color="auto" w:fill="FFFFFB"/>
        </w:rPr>
        <w:t>f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lavonoids, </w:t>
      </w:r>
      <w:r>
        <w:rPr>
          <w:color w:val="000000" w:themeColor="text1"/>
          <w:sz w:val="24"/>
          <w:szCs w:val="24"/>
          <w:shd w:val="clear" w:color="auto" w:fill="FFFFFB"/>
        </w:rPr>
        <w:t>q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uinones, </w:t>
      </w:r>
      <w:r>
        <w:rPr>
          <w:color w:val="000000" w:themeColor="text1"/>
          <w:sz w:val="24"/>
          <w:szCs w:val="24"/>
          <w:shd w:val="clear" w:color="auto" w:fill="FFFFFB"/>
        </w:rPr>
        <w:t>p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henols, </w:t>
      </w:r>
      <w:r>
        <w:rPr>
          <w:color w:val="000000" w:themeColor="text1"/>
          <w:sz w:val="24"/>
          <w:szCs w:val="24"/>
          <w:shd w:val="clear" w:color="auto" w:fill="FFFFFB"/>
        </w:rPr>
        <w:t>t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erpenoids, </w:t>
      </w:r>
      <w:r>
        <w:rPr>
          <w:color w:val="000000" w:themeColor="text1"/>
          <w:sz w:val="24"/>
          <w:szCs w:val="24"/>
          <w:shd w:val="clear" w:color="auto" w:fill="FFFFFB"/>
        </w:rPr>
        <w:t>a</w:t>
      </w:r>
      <w:r w:rsidRPr="002A5509">
        <w:rPr>
          <w:color w:val="000000" w:themeColor="text1"/>
          <w:sz w:val="24"/>
          <w:szCs w:val="24"/>
          <w:shd w:val="clear" w:color="auto" w:fill="FFFFFB"/>
        </w:rPr>
        <w:t>lkaloids,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g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lycosides, </w:t>
      </w:r>
      <w:r>
        <w:rPr>
          <w:color w:val="000000" w:themeColor="text1"/>
          <w:sz w:val="24"/>
          <w:szCs w:val="24"/>
          <w:shd w:val="clear" w:color="auto" w:fill="FFFFFB"/>
        </w:rPr>
        <w:t>c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ardio glycosides, </w:t>
      </w:r>
      <w:r>
        <w:rPr>
          <w:color w:val="000000" w:themeColor="text1"/>
          <w:sz w:val="24"/>
          <w:szCs w:val="24"/>
          <w:shd w:val="clear" w:color="auto" w:fill="FFFFFB"/>
        </w:rPr>
        <w:t>c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oumarins, </w:t>
      </w:r>
      <w:r>
        <w:rPr>
          <w:color w:val="000000" w:themeColor="text1"/>
          <w:sz w:val="24"/>
          <w:szCs w:val="24"/>
          <w:shd w:val="clear" w:color="auto" w:fill="FFFFFB"/>
        </w:rPr>
        <w:t>b</w:t>
      </w:r>
      <w:r w:rsidRPr="002A5509">
        <w:rPr>
          <w:color w:val="000000" w:themeColor="text1"/>
          <w:sz w:val="24"/>
          <w:szCs w:val="24"/>
          <w:shd w:val="clear" w:color="auto" w:fill="FFFFFB"/>
        </w:rPr>
        <w:t>etacyanin, Anthocyanin, Steroids were screened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and quantified</w:t>
      </w:r>
      <w:r w:rsidRPr="002A5509">
        <w:rPr>
          <w:color w:val="000000" w:themeColor="text1"/>
          <w:sz w:val="24"/>
          <w:szCs w:val="24"/>
          <w:shd w:val="clear" w:color="auto" w:fill="FFFFFB"/>
        </w:rPr>
        <w:t xml:space="preserve">.  In addition to this, 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antioxidants were </w:t>
      </w:r>
      <w:proofErr w:type="spellStart"/>
      <w:r>
        <w:rPr>
          <w:color w:val="000000" w:themeColor="text1"/>
          <w:sz w:val="24"/>
          <w:szCs w:val="24"/>
          <w:shd w:val="clear" w:color="auto" w:fill="FFFFFB"/>
        </w:rPr>
        <w:t>analysed</w:t>
      </w:r>
      <w:proofErr w:type="spellEnd"/>
      <w:r>
        <w:rPr>
          <w:color w:val="000000" w:themeColor="text1"/>
          <w:sz w:val="24"/>
          <w:szCs w:val="24"/>
          <w:shd w:val="clear" w:color="auto" w:fill="FFFFFB"/>
        </w:rPr>
        <w:t xml:space="preserve"> using </w:t>
      </w:r>
      <w:r w:rsidRPr="002A5509">
        <w:rPr>
          <w:color w:val="000000" w:themeColor="text1"/>
          <w:sz w:val="24"/>
          <w:szCs w:val="24"/>
          <w:shd w:val="clear" w:color="auto" w:fill="FFFFFB"/>
        </w:rPr>
        <w:t>DPPH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and ABTS radical scavenging assays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. Out of </w:t>
      </w:r>
      <w:r>
        <w:rPr>
          <w:color w:val="000000" w:themeColor="text1"/>
          <w:sz w:val="24"/>
          <w:szCs w:val="24"/>
          <w:shd w:val="clear" w:color="auto" w:fill="FFFFFB"/>
        </w:rPr>
        <w:t>thirteen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 qualitative phytochemicals analyzed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, ten </w:t>
      </w:r>
      <w:r w:rsidRPr="007C2F4F">
        <w:rPr>
          <w:color w:val="000000" w:themeColor="text1"/>
          <w:sz w:val="24"/>
          <w:szCs w:val="24"/>
          <w:shd w:val="clear" w:color="auto" w:fill="FFFFFB"/>
        </w:rPr>
        <w:t>phytochemicals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were identified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. 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The antioxidant inhibition was observed in four 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plant 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species whose 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scavenging activity 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was 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above 80% 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Schubria</w:t>
      </w:r>
      <w:proofErr w:type="spellEnd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 xml:space="preserve"> 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pinnata</w:t>
      </w:r>
      <w:proofErr w:type="spellEnd"/>
      <w:r w:rsidRPr="007C2F4F">
        <w:rPr>
          <w:color w:val="000000" w:themeColor="text1"/>
          <w:sz w:val="24"/>
          <w:szCs w:val="24"/>
          <w:shd w:val="clear" w:color="auto" w:fill="FFFFFB"/>
        </w:rPr>
        <w:t>&gt;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Lippia</w:t>
      </w:r>
      <w:proofErr w:type="spellEnd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 xml:space="preserve"> 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javanica</w:t>
      </w:r>
      <w:proofErr w:type="spellEnd"/>
      <w:r w:rsidRPr="007C2F4F">
        <w:rPr>
          <w:color w:val="000000" w:themeColor="text1"/>
          <w:sz w:val="24"/>
          <w:szCs w:val="24"/>
          <w:shd w:val="clear" w:color="auto" w:fill="FFFFFB"/>
        </w:rPr>
        <w:t>&gt;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Clerodendrum</w:t>
      </w:r>
      <w:proofErr w:type="spellEnd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 xml:space="preserve"> 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myricoides</w:t>
      </w:r>
      <w:proofErr w:type="spellEnd"/>
      <w:r w:rsidRPr="007C2F4F">
        <w:rPr>
          <w:color w:val="000000" w:themeColor="text1"/>
          <w:sz w:val="24"/>
          <w:szCs w:val="24"/>
          <w:shd w:val="clear" w:color="auto" w:fill="FFFFFB"/>
        </w:rPr>
        <w:t>&gt;</w:t>
      </w:r>
      <w:proofErr w:type="spellStart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>Erythrina</w:t>
      </w:r>
      <w:proofErr w:type="spellEnd"/>
      <w:r w:rsidRPr="007C2F4F">
        <w:rPr>
          <w:i/>
          <w:color w:val="000000" w:themeColor="text1"/>
          <w:sz w:val="24"/>
          <w:szCs w:val="24"/>
          <w:shd w:val="clear" w:color="auto" w:fill="FFFFFB"/>
        </w:rPr>
        <w:t xml:space="preserve"> lysistemon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&gt; respectively. </w:t>
      </w:r>
      <w:r>
        <w:rPr>
          <w:color w:val="000000" w:themeColor="text1"/>
          <w:sz w:val="24"/>
          <w:szCs w:val="24"/>
          <w:shd w:val="clear" w:color="auto" w:fill="FFFFFB"/>
        </w:rPr>
        <w:t>Also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, these plant 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species exhibited an </w:t>
      </w:r>
      <w:r w:rsidRPr="007C2F4F">
        <w:rPr>
          <w:color w:val="000000" w:themeColor="text1"/>
          <w:sz w:val="24"/>
          <w:szCs w:val="24"/>
          <w:shd w:val="clear" w:color="auto" w:fill="FFFFFB"/>
        </w:rPr>
        <w:t>alpha</w:t>
      </w:r>
      <w:r>
        <w:rPr>
          <w:color w:val="000000" w:themeColor="text1"/>
          <w:sz w:val="24"/>
          <w:szCs w:val="24"/>
          <w:shd w:val="clear" w:color="auto" w:fill="FFFFFB"/>
        </w:rPr>
        <w:t>-</w:t>
      </w:r>
      <w:r w:rsidRPr="007C2F4F">
        <w:rPr>
          <w:color w:val="000000" w:themeColor="text1"/>
          <w:sz w:val="24"/>
          <w:szCs w:val="24"/>
          <w:shd w:val="clear" w:color="auto" w:fill="FFFFFB"/>
        </w:rPr>
        <w:t>amylase inhibitory effect of 80%.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The IC</w:t>
      </w:r>
      <w:r w:rsidRPr="001F4E1A">
        <w:rPr>
          <w:color w:val="000000" w:themeColor="text1"/>
          <w:sz w:val="24"/>
          <w:szCs w:val="24"/>
          <w:shd w:val="clear" w:color="auto" w:fill="FFFFFB"/>
          <w:vertAlign w:val="subscript"/>
        </w:rPr>
        <w:t>50</w:t>
      </w:r>
      <w:r>
        <w:rPr>
          <w:color w:val="000000" w:themeColor="text1"/>
          <w:sz w:val="24"/>
          <w:szCs w:val="24"/>
          <w:shd w:val="clear" w:color="auto" w:fill="FFFFFB"/>
        </w:rPr>
        <w:t xml:space="preserve"> values were &gt; 1000 µg/ml.</w:t>
      </w:r>
      <w:r w:rsidRPr="007C2F4F">
        <w:rPr>
          <w:color w:val="000000" w:themeColor="text1"/>
          <w:sz w:val="24"/>
          <w:szCs w:val="24"/>
          <w:shd w:val="clear" w:color="auto" w:fill="FFFFFB"/>
        </w:rPr>
        <w:t xml:space="preserve"> </w:t>
      </w:r>
      <w:r w:rsidRPr="00AC13F0">
        <w:rPr>
          <w:sz w:val="24"/>
          <w:szCs w:val="24"/>
        </w:rPr>
        <w:t>The</w:t>
      </w:r>
      <w:r>
        <w:rPr>
          <w:sz w:val="24"/>
          <w:szCs w:val="24"/>
        </w:rPr>
        <w:t>se</w:t>
      </w:r>
      <w:r w:rsidRPr="00AC13F0">
        <w:rPr>
          <w:sz w:val="24"/>
          <w:szCs w:val="24"/>
        </w:rPr>
        <w:t xml:space="preserve"> </w:t>
      </w:r>
      <w:r>
        <w:rPr>
          <w:sz w:val="24"/>
          <w:szCs w:val="24"/>
        </w:rPr>
        <w:t>findings</w:t>
      </w:r>
      <w:r w:rsidRPr="00AC13F0">
        <w:rPr>
          <w:sz w:val="24"/>
          <w:szCs w:val="24"/>
        </w:rPr>
        <w:t xml:space="preserve"> suggest that the presence of phenolic, flavonoids, antioxidants, and α-amylase properties are potential solutions towards the management of diabetes and other </w:t>
      </w:r>
      <w:r>
        <w:rPr>
          <w:sz w:val="24"/>
          <w:szCs w:val="24"/>
        </w:rPr>
        <w:t xml:space="preserve">chronic </w:t>
      </w:r>
      <w:r w:rsidRPr="00AC13F0">
        <w:rPr>
          <w:sz w:val="24"/>
          <w:szCs w:val="24"/>
        </w:rPr>
        <w:t>inflammatory diseases</w:t>
      </w:r>
      <w:r>
        <w:rPr>
          <w:sz w:val="24"/>
          <w:szCs w:val="24"/>
        </w:rPr>
        <w:t>.</w:t>
      </w:r>
    </w:p>
    <w:p w14:paraId="6C456233" w14:textId="0898481B" w:rsidR="00E4678E" w:rsidRDefault="00E4678E" w:rsidP="00E4678E">
      <w:pPr>
        <w:jc w:val="both"/>
        <w:rPr>
          <w:sz w:val="24"/>
          <w:szCs w:val="24"/>
        </w:rPr>
      </w:pPr>
      <w:r w:rsidRPr="00914E44">
        <w:rPr>
          <w:b/>
          <w:sz w:val="24"/>
          <w:szCs w:val="24"/>
        </w:rPr>
        <w:t>Keywords</w:t>
      </w:r>
      <w:r w:rsidRPr="00914E44">
        <w:rPr>
          <w:sz w:val="24"/>
          <w:szCs w:val="24"/>
        </w:rPr>
        <w:t xml:space="preserve">: </w:t>
      </w:r>
      <w:r>
        <w:rPr>
          <w:sz w:val="24"/>
          <w:szCs w:val="24"/>
        </w:rPr>
        <w:t>phytochemicals, phenolic, flavonoid, antioxidants, alpha-amylase, medicinal plants.</w:t>
      </w:r>
    </w:p>
    <w:p w14:paraId="596F6599" w14:textId="77777777" w:rsidR="00C425B9" w:rsidRDefault="00C425B9"/>
    <w:sectPr w:rsidR="00C42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8E"/>
    <w:rsid w:val="003E2F1C"/>
    <w:rsid w:val="007771C4"/>
    <w:rsid w:val="00934839"/>
    <w:rsid w:val="00C425B9"/>
    <w:rsid w:val="00E4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40AF1"/>
  <w15:chartTrackingRefBased/>
  <w15:docId w15:val="{75BB0674-1C73-4317-9441-075630EB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7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bnkala@ufh.ac.z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Bongani Nkala</dc:creator>
  <cp:keywords/>
  <dc:description/>
  <cp:lastModifiedBy>Bongani Nkala</cp:lastModifiedBy>
  <cp:revision>2</cp:revision>
  <dcterms:created xsi:type="dcterms:W3CDTF">2023-06-06T17:31:00Z</dcterms:created>
  <dcterms:modified xsi:type="dcterms:W3CDTF">2023-06-06T17:31:00Z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8bc7ed0b-2701-467b-ae1e-9309519f8aeb</vt:lpwstr>
  </property>
</Properties>
</file>