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F06B6" w14:textId="5D00A2E4" w:rsidR="003840DB" w:rsidRDefault="003840DB">
      <w:r>
        <w:t>ABSTRACT FOR INT CONF ON ALT MED LONDON UK 1-2 DEC 2023</w:t>
      </w:r>
    </w:p>
    <w:p w14:paraId="7C75DC1E" w14:textId="508A5C30" w:rsidR="003840DB" w:rsidRDefault="003840DB"/>
    <w:p w14:paraId="1A96CFBD" w14:textId="6A8D0F17" w:rsidR="003840DB" w:rsidRDefault="003840DB">
      <w:r>
        <w:t>PHARMACOGNOSY OF NUTRCEUTICAL ADJUNCTS IN THE TREATMENT OF MILD TO MODERATE HYPERTENSION</w:t>
      </w:r>
    </w:p>
    <w:p w14:paraId="50EFA7FB" w14:textId="150C18F6" w:rsidR="003840DB" w:rsidRDefault="003840DB"/>
    <w:p w14:paraId="0C264181" w14:textId="05AE30C5" w:rsidR="003840DB" w:rsidRDefault="003840DB">
      <w:r>
        <w:t>Orien L Tulp</w:t>
      </w:r>
      <w:r w:rsidR="00C84A98">
        <w:t>, PhD, MD, FACN, CNS</w:t>
      </w:r>
    </w:p>
    <w:p w14:paraId="563279E4" w14:textId="0691BA94" w:rsidR="003840DB" w:rsidRDefault="003840DB">
      <w:r>
        <w:t>Professor, Colleges of Medicine an Graduate Studies, University of Science Arts and Technology, Montserrat, British West Indies</w:t>
      </w:r>
    </w:p>
    <w:p w14:paraId="1FAF7E68" w14:textId="45A6D31D" w:rsidR="00C84A98" w:rsidRDefault="00C84A98">
      <w:r>
        <w:t>Corresponding author: o.tulp@usat.edu</w:t>
      </w:r>
    </w:p>
    <w:p w14:paraId="39DD1637" w14:textId="7C6DCA55" w:rsidR="003840DB" w:rsidRDefault="003840DB">
      <w:r>
        <w:t>ABSTRACT:</w:t>
      </w:r>
    </w:p>
    <w:p w14:paraId="18A0AD28" w14:textId="4CE8D52B" w:rsidR="00BC4D30" w:rsidRDefault="00BC4D30" w:rsidP="00BC4D30">
      <w:pPr>
        <w:spacing w:after="0" w:line="240" w:lineRule="auto"/>
        <w:jc w:val="both"/>
        <w:rPr>
          <w:rFonts w:eastAsia="Times New Roman" w:cstheme="minorHAnsi"/>
          <w:sz w:val="24"/>
          <w:szCs w:val="24"/>
        </w:rPr>
      </w:pPr>
      <w:r>
        <w:rPr>
          <w:rFonts w:eastAsia="Times New Roman" w:cstheme="minorHAnsi"/>
          <w:sz w:val="24"/>
          <w:szCs w:val="24"/>
        </w:rPr>
        <w:t xml:space="preserve">The applications of Complementary and Alternative medicine </w:t>
      </w:r>
      <w:r w:rsidR="00C84A98">
        <w:rPr>
          <w:rFonts w:eastAsia="Times New Roman" w:cstheme="minorHAnsi"/>
          <w:sz w:val="24"/>
          <w:szCs w:val="24"/>
        </w:rPr>
        <w:t xml:space="preserve">(CAM) </w:t>
      </w:r>
      <w:r>
        <w:rPr>
          <w:rFonts w:eastAsia="Times New Roman" w:cstheme="minorHAnsi"/>
          <w:sz w:val="24"/>
          <w:szCs w:val="24"/>
        </w:rPr>
        <w:t xml:space="preserve">strategies using naturally occurring plants and plant products have played an important role in the treatment and amelioration of illness and disease for hundreds if not thousands of years in many parts of the </w:t>
      </w:r>
      <w:r w:rsidR="00885075">
        <w:rPr>
          <w:rFonts w:eastAsia="Times New Roman" w:cstheme="minorHAnsi"/>
          <w:sz w:val="24"/>
          <w:szCs w:val="24"/>
        </w:rPr>
        <w:t>world and</w:t>
      </w:r>
      <w:r>
        <w:rPr>
          <w:rFonts w:eastAsia="Times New Roman" w:cstheme="minorHAnsi"/>
          <w:sz w:val="24"/>
          <w:szCs w:val="24"/>
        </w:rPr>
        <w:t xml:space="preserve"> paved the way for the subsequent development of many of the pharmacologic agents in use </w:t>
      </w:r>
      <w:r w:rsidR="00885075">
        <w:rPr>
          <w:rFonts w:eastAsia="Times New Roman" w:cstheme="minorHAnsi"/>
          <w:sz w:val="24"/>
          <w:szCs w:val="24"/>
        </w:rPr>
        <w:t>today.</w:t>
      </w:r>
      <w:r>
        <w:rPr>
          <w:rFonts w:eastAsia="Times New Roman" w:cstheme="minorHAnsi"/>
          <w:sz w:val="24"/>
          <w:szCs w:val="24"/>
        </w:rPr>
        <w:t xml:space="preserve"> Traditional Chinese Medicine (TCM) includes an extensive nutraceutical formulary </w:t>
      </w:r>
      <w:r w:rsidR="00235826">
        <w:rPr>
          <w:rFonts w:eastAsia="Times New Roman" w:cstheme="minorHAnsi"/>
          <w:sz w:val="24"/>
          <w:szCs w:val="24"/>
        </w:rPr>
        <w:t xml:space="preserve">for many illnesses </w:t>
      </w:r>
      <w:r>
        <w:rPr>
          <w:rFonts w:eastAsia="Times New Roman" w:cstheme="minorHAnsi"/>
          <w:sz w:val="24"/>
          <w:szCs w:val="24"/>
        </w:rPr>
        <w:t xml:space="preserve">with its origins dating back for over 2,000 years, and in </w:t>
      </w:r>
      <w:r>
        <w:rPr>
          <w:rFonts w:eastAsia="Times New Roman" w:cstheme="minorHAnsi"/>
          <w:sz w:val="24"/>
          <w:szCs w:val="24"/>
        </w:rPr>
        <w:t xml:space="preserve">European, </w:t>
      </w:r>
      <w:r>
        <w:rPr>
          <w:rFonts w:eastAsia="Times New Roman" w:cstheme="minorHAnsi"/>
          <w:sz w:val="24"/>
          <w:szCs w:val="24"/>
        </w:rPr>
        <w:t xml:space="preserve">North </w:t>
      </w:r>
      <w:r w:rsidR="00885075">
        <w:rPr>
          <w:rFonts w:eastAsia="Times New Roman" w:cstheme="minorHAnsi"/>
          <w:sz w:val="24"/>
          <w:szCs w:val="24"/>
        </w:rPr>
        <w:t>American,</w:t>
      </w:r>
      <w:r>
        <w:rPr>
          <w:rFonts w:eastAsia="Times New Roman" w:cstheme="minorHAnsi"/>
          <w:sz w:val="24"/>
          <w:szCs w:val="24"/>
        </w:rPr>
        <w:t xml:space="preserve"> and other indigenous societies the use of locally available naturally occurring plants contributed to the </w:t>
      </w:r>
      <w:r>
        <w:rPr>
          <w:rFonts w:eastAsia="Times New Roman" w:cstheme="minorHAnsi"/>
          <w:sz w:val="24"/>
          <w:szCs w:val="24"/>
        </w:rPr>
        <w:t xml:space="preserve">treatment of illness and disease, including the </w:t>
      </w:r>
      <w:r>
        <w:rPr>
          <w:rFonts w:eastAsia="Times New Roman" w:cstheme="minorHAnsi"/>
          <w:sz w:val="24"/>
          <w:szCs w:val="24"/>
        </w:rPr>
        <w:t>prevention of numerous nutritional deficiencies</w:t>
      </w:r>
      <w:r>
        <w:rPr>
          <w:rFonts w:eastAsia="Times New Roman" w:cstheme="minorHAnsi"/>
          <w:sz w:val="24"/>
          <w:szCs w:val="24"/>
        </w:rPr>
        <w:t xml:space="preserve"> and disorders.</w:t>
      </w:r>
      <w:r>
        <w:rPr>
          <w:rFonts w:eastAsia="Times New Roman" w:cstheme="minorHAnsi"/>
          <w:sz w:val="24"/>
          <w:szCs w:val="24"/>
        </w:rPr>
        <w:t xml:space="preserve"> </w:t>
      </w:r>
      <w:r>
        <w:rPr>
          <w:rFonts w:eastAsia="Times New Roman" w:cstheme="minorHAnsi"/>
          <w:sz w:val="24"/>
          <w:szCs w:val="24"/>
        </w:rPr>
        <w:t xml:space="preserve">In two case study reviews, the effects of a </w:t>
      </w:r>
      <w:r w:rsidR="00235826">
        <w:rPr>
          <w:rFonts w:eastAsia="Times New Roman" w:cstheme="minorHAnsi"/>
          <w:sz w:val="24"/>
          <w:szCs w:val="24"/>
        </w:rPr>
        <w:t xml:space="preserve">Caribbean </w:t>
      </w:r>
      <w:r>
        <w:rPr>
          <w:rFonts w:eastAsia="Times New Roman" w:cstheme="minorHAnsi"/>
          <w:sz w:val="24"/>
          <w:szCs w:val="24"/>
        </w:rPr>
        <w:t xml:space="preserve">mango leaf tea preparation (MLT) and a traditional Chinese herbal preparation (the SWT formula) were evaluated for their efficacy in augmenting allopathic medicines </w:t>
      </w:r>
      <w:r w:rsidR="00C84A98">
        <w:rPr>
          <w:rFonts w:eastAsia="Times New Roman" w:cstheme="minorHAnsi"/>
          <w:sz w:val="24"/>
          <w:szCs w:val="24"/>
        </w:rPr>
        <w:t>for</w:t>
      </w:r>
      <w:r>
        <w:rPr>
          <w:rFonts w:eastAsia="Times New Roman" w:cstheme="minorHAnsi"/>
          <w:sz w:val="24"/>
          <w:szCs w:val="24"/>
        </w:rPr>
        <w:t xml:space="preserve"> </w:t>
      </w:r>
      <w:r w:rsidR="00235826">
        <w:rPr>
          <w:rFonts w:eastAsia="Times New Roman" w:cstheme="minorHAnsi"/>
          <w:sz w:val="24"/>
          <w:szCs w:val="24"/>
        </w:rPr>
        <w:t>incompletely</w:t>
      </w:r>
      <w:r>
        <w:rPr>
          <w:rFonts w:eastAsia="Times New Roman" w:cstheme="minorHAnsi"/>
          <w:sz w:val="24"/>
          <w:szCs w:val="24"/>
        </w:rPr>
        <w:t xml:space="preserve"> controlled </w:t>
      </w:r>
      <w:r w:rsidR="00235826">
        <w:rPr>
          <w:rFonts w:eastAsia="Times New Roman" w:cstheme="minorHAnsi"/>
          <w:sz w:val="24"/>
          <w:szCs w:val="24"/>
        </w:rPr>
        <w:t>hypertension (</w:t>
      </w:r>
      <w:r>
        <w:rPr>
          <w:rFonts w:eastAsia="Times New Roman" w:cstheme="minorHAnsi"/>
          <w:sz w:val="24"/>
          <w:szCs w:val="24"/>
        </w:rPr>
        <w:t>HTN</w:t>
      </w:r>
      <w:r w:rsidR="00235826">
        <w:rPr>
          <w:rFonts w:eastAsia="Times New Roman" w:cstheme="minorHAnsi"/>
          <w:sz w:val="24"/>
          <w:szCs w:val="24"/>
        </w:rPr>
        <w:t>)</w:t>
      </w:r>
      <w:r>
        <w:rPr>
          <w:rFonts w:eastAsia="Times New Roman" w:cstheme="minorHAnsi"/>
          <w:sz w:val="24"/>
          <w:szCs w:val="24"/>
        </w:rPr>
        <w:t xml:space="preserve"> </w:t>
      </w:r>
      <w:r w:rsidR="00235826">
        <w:rPr>
          <w:rFonts w:eastAsia="Times New Roman" w:cstheme="minorHAnsi"/>
          <w:sz w:val="24"/>
          <w:szCs w:val="24"/>
        </w:rPr>
        <w:t xml:space="preserve">with allopathic agents in an effort </w:t>
      </w:r>
      <w:r>
        <w:rPr>
          <w:rFonts w:eastAsia="Times New Roman" w:cstheme="minorHAnsi"/>
          <w:sz w:val="24"/>
          <w:szCs w:val="24"/>
        </w:rPr>
        <w:t xml:space="preserve">to improve the management of mild to moderate </w:t>
      </w:r>
      <w:r w:rsidR="00235826">
        <w:rPr>
          <w:rFonts w:eastAsia="Times New Roman" w:cstheme="minorHAnsi"/>
          <w:sz w:val="24"/>
          <w:szCs w:val="24"/>
        </w:rPr>
        <w:t>HTN</w:t>
      </w:r>
      <w:r>
        <w:rPr>
          <w:rFonts w:eastAsia="Times New Roman" w:cstheme="minorHAnsi"/>
          <w:sz w:val="24"/>
          <w:szCs w:val="24"/>
        </w:rPr>
        <w:t xml:space="preserve">. In the </w:t>
      </w:r>
      <w:r w:rsidR="00885075">
        <w:rPr>
          <w:rFonts w:eastAsia="Times New Roman" w:cstheme="minorHAnsi"/>
          <w:sz w:val="24"/>
          <w:szCs w:val="24"/>
        </w:rPr>
        <w:t>MLT preparation</w:t>
      </w:r>
      <w:r>
        <w:rPr>
          <w:rFonts w:eastAsia="Times New Roman" w:cstheme="minorHAnsi"/>
          <w:sz w:val="24"/>
          <w:szCs w:val="24"/>
        </w:rPr>
        <w:t xml:space="preserve">, adequate blood pressure control was obtained within 1 to 2 weeks in </w:t>
      </w:r>
      <w:r w:rsidR="00235826">
        <w:rPr>
          <w:rFonts w:eastAsia="Times New Roman" w:cstheme="minorHAnsi"/>
          <w:sz w:val="24"/>
          <w:szCs w:val="24"/>
        </w:rPr>
        <w:t xml:space="preserve">all </w:t>
      </w:r>
      <w:r>
        <w:rPr>
          <w:rFonts w:eastAsia="Times New Roman" w:cstheme="minorHAnsi"/>
          <w:sz w:val="24"/>
          <w:szCs w:val="24"/>
        </w:rPr>
        <w:t xml:space="preserve">patients, and with the SWT preparation, similar results </w:t>
      </w:r>
      <w:r w:rsidR="00235826">
        <w:rPr>
          <w:rFonts w:eastAsia="Times New Roman" w:cstheme="minorHAnsi"/>
          <w:sz w:val="24"/>
          <w:szCs w:val="24"/>
        </w:rPr>
        <w:t xml:space="preserve">were obtained. While the mechanisms of action of the various CAM formula remain unclear, these results indicate that CAM can provide beneficial results in the management and sequela of HTN as both monotherapy and combined therapeutic applications. </w:t>
      </w:r>
    </w:p>
    <w:p w14:paraId="412FF15F" w14:textId="77777777" w:rsidR="00BC4D30" w:rsidRDefault="00BC4D30" w:rsidP="00BC4D30">
      <w:pPr>
        <w:spacing w:after="0" w:line="240" w:lineRule="auto"/>
        <w:jc w:val="both"/>
        <w:rPr>
          <w:rFonts w:eastAsia="Times New Roman" w:cstheme="minorHAnsi"/>
          <w:sz w:val="24"/>
          <w:szCs w:val="24"/>
        </w:rPr>
      </w:pPr>
    </w:p>
    <w:p w14:paraId="1AF8241B" w14:textId="2EB35251" w:rsidR="003840DB" w:rsidRDefault="00176284">
      <w:r>
        <w:rPr>
          <w:rFonts w:eastAsia="Times New Roman" w:cstheme="minorHAnsi"/>
          <w:sz w:val="24"/>
          <w:szCs w:val="24"/>
        </w:rPr>
        <w:t>Funding: Institutional Resources</w:t>
      </w:r>
    </w:p>
    <w:sectPr w:rsidR="003840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0DB"/>
    <w:rsid w:val="00176284"/>
    <w:rsid w:val="00235826"/>
    <w:rsid w:val="003840DB"/>
    <w:rsid w:val="003E0514"/>
    <w:rsid w:val="00885075"/>
    <w:rsid w:val="00BC4D30"/>
    <w:rsid w:val="00C84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06EFF"/>
  <w15:chartTrackingRefBased/>
  <w15:docId w15:val="{091770C1-8DB8-4FBF-B748-BDE668890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286</Words>
  <Characters>1639</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TULP TULP</dc:creator>
  <cp:keywords/>
  <dc:description/>
  <cp:lastModifiedBy>TULP TULP</cp:lastModifiedBy>
  <cp:revision>3</cp:revision>
  <dcterms:created xsi:type="dcterms:W3CDTF">2023-04-06T06:24:00Z</dcterms:created>
  <dcterms:modified xsi:type="dcterms:W3CDTF">2023-04-06T06:26:00Z</dcterms:modified>
</cp:coreProperties>
</file>