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0DA" w:rsidRPr="00285B05" w:rsidRDefault="000C68DF" w:rsidP="000C68DF">
      <w:pPr>
        <w:rPr>
          <w:sz w:val="24"/>
          <w:szCs w:val="24"/>
        </w:rPr>
      </w:pPr>
      <w:r w:rsidRPr="00285B05">
        <w:rPr>
          <w:sz w:val="24"/>
          <w:szCs w:val="24"/>
        </w:rPr>
        <w:t xml:space="preserve">"Osteoarthritis, Ayurveda, bioactives &amp; nanotech potential" </w:t>
      </w:r>
    </w:p>
    <w:p w:rsidR="00CB25A5" w:rsidRDefault="00CB25A5" w:rsidP="000C68DF">
      <w:pPr>
        <w:rPr>
          <w:sz w:val="24"/>
          <w:szCs w:val="24"/>
        </w:rPr>
      </w:pPr>
      <w:r w:rsidRPr="00285B05">
        <w:rPr>
          <w:sz w:val="24"/>
          <w:szCs w:val="24"/>
        </w:rPr>
        <w:t>Utkarsh ghate &amp; Hema Kulkarni</w:t>
      </w:r>
    </w:p>
    <w:p w:rsidR="008468E5" w:rsidRDefault="00127B5F" w:rsidP="000C68DF">
      <w:pPr>
        <w:rPr>
          <w:sz w:val="24"/>
          <w:szCs w:val="24"/>
        </w:rPr>
      </w:pPr>
      <w:r>
        <w:rPr>
          <w:sz w:val="24"/>
          <w:szCs w:val="24"/>
        </w:rPr>
        <w:t>Gram Mooligai co. ltd., Dug and Government Model College, Durg</w:t>
      </w:r>
    </w:p>
    <w:p w:rsidR="008468E5" w:rsidRPr="00285B05" w:rsidRDefault="008468E5" w:rsidP="000C68DF">
      <w:pPr>
        <w:rPr>
          <w:sz w:val="24"/>
          <w:szCs w:val="24"/>
        </w:rPr>
      </w:pPr>
      <w:r>
        <w:rPr>
          <w:sz w:val="24"/>
          <w:szCs w:val="24"/>
        </w:rPr>
        <w:t>Abstract</w:t>
      </w:r>
    </w:p>
    <w:p w:rsidR="00127B5F" w:rsidRDefault="00127B5F" w:rsidP="00285B0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  <w:sectPr w:rsidR="00127B5F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0C68DF" w:rsidRDefault="00C050DA" w:rsidP="00285B0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285B05">
        <w:rPr>
          <w:sz w:val="24"/>
          <w:szCs w:val="24"/>
        </w:rPr>
        <w:lastRenderedPageBreak/>
        <w:t>B</w:t>
      </w:r>
      <w:r w:rsidR="000C68DF" w:rsidRPr="00285B05">
        <w:rPr>
          <w:sz w:val="24"/>
          <w:szCs w:val="24"/>
        </w:rPr>
        <w:t>ioactive molecules like quercetin can provide relief, or perhaps cure elderly &amp; inflammatory diseases like osteoarthritis- 4thmost disabling ailment in the world, especially the west. vide global disease burden study.    Aurveda has traditional remedies now proven through clinical trials even in Europe &amp; USA about utility of Guggulu resin (Myrrh</w:t>
      </w:r>
      <w:r w:rsidR="000C68DF" w:rsidRPr="00285B05">
        <w:rPr>
          <w:sz w:val="24"/>
          <w:szCs w:val="24"/>
        </w:rPr>
        <w:t xml:space="preserve">)- </w:t>
      </w:r>
      <w:r w:rsidR="000C68DF" w:rsidRPr="00285B05">
        <w:rPr>
          <w:i/>
          <w:iCs/>
          <w:sz w:val="24"/>
          <w:szCs w:val="24"/>
        </w:rPr>
        <w:t>C</w:t>
      </w:r>
      <w:r w:rsidR="000C68DF" w:rsidRPr="00285B05">
        <w:rPr>
          <w:i/>
          <w:iCs/>
          <w:sz w:val="24"/>
          <w:szCs w:val="24"/>
        </w:rPr>
        <w:t>ommiphora wightii</w:t>
      </w:r>
      <w:r w:rsidR="000C68DF" w:rsidRPr="00285B05">
        <w:rPr>
          <w:sz w:val="24"/>
          <w:szCs w:val="24"/>
        </w:rPr>
        <w:t>- to reduce the pain, inflammation &amp; improve health on WOMAC score. buts its rare &amp; threatened, near extinction &amp; gum from its substitutes viz</w:t>
      </w:r>
      <w:r w:rsidR="000C68DF" w:rsidRPr="00285B05">
        <w:rPr>
          <w:i/>
          <w:iCs/>
          <w:sz w:val="24"/>
          <w:szCs w:val="24"/>
        </w:rPr>
        <w:t>. Boswellia serrata</w:t>
      </w:r>
      <w:r w:rsidR="000C68DF" w:rsidRPr="00285B05">
        <w:rPr>
          <w:sz w:val="24"/>
          <w:szCs w:val="24"/>
        </w:rPr>
        <w:t xml:space="preserve">  (Indian </w:t>
      </w:r>
      <w:r w:rsidR="0085740B" w:rsidRPr="00285B05">
        <w:rPr>
          <w:sz w:val="24"/>
          <w:szCs w:val="24"/>
        </w:rPr>
        <w:t>F</w:t>
      </w:r>
      <w:r w:rsidR="000C68DF" w:rsidRPr="00285B05">
        <w:rPr>
          <w:sz w:val="24"/>
          <w:szCs w:val="24"/>
        </w:rPr>
        <w:t>rankincense) are</w:t>
      </w:r>
      <w:r w:rsidR="008042CF" w:rsidRPr="00285B05">
        <w:rPr>
          <w:sz w:val="24"/>
          <w:szCs w:val="24"/>
        </w:rPr>
        <w:t xml:space="preserve"> too declining</w:t>
      </w:r>
      <w:r w:rsidR="000C68DF" w:rsidRPr="00285B05">
        <w:rPr>
          <w:sz w:val="24"/>
          <w:szCs w:val="24"/>
        </w:rPr>
        <w:t xml:space="preserve">. </w:t>
      </w:r>
      <w:r w:rsidR="008042CF" w:rsidRPr="00285B05">
        <w:rPr>
          <w:sz w:val="24"/>
          <w:szCs w:val="24"/>
        </w:rPr>
        <w:t xml:space="preserve">Thus, we </w:t>
      </w:r>
      <w:r w:rsidR="000C68DF" w:rsidRPr="00285B05">
        <w:rPr>
          <w:sz w:val="24"/>
          <w:szCs w:val="24"/>
        </w:rPr>
        <w:t xml:space="preserve">need to develop cultivated spices to avoid resource crunch. Spices such as Coriander &amp; Black Pepper </w:t>
      </w:r>
      <w:r w:rsidR="008042CF" w:rsidRPr="00285B05">
        <w:rPr>
          <w:sz w:val="24"/>
          <w:szCs w:val="24"/>
        </w:rPr>
        <w:t xml:space="preserve">containing </w:t>
      </w:r>
      <w:r w:rsidR="000C68DF" w:rsidRPr="00285B05">
        <w:rPr>
          <w:sz w:val="24"/>
          <w:szCs w:val="24"/>
        </w:rPr>
        <w:t>bioactives such as Quercetin</w:t>
      </w:r>
      <w:r w:rsidR="0085740B" w:rsidRPr="00285B05">
        <w:rPr>
          <w:sz w:val="24"/>
          <w:szCs w:val="24"/>
        </w:rPr>
        <w:t>, apolyphenol</w:t>
      </w:r>
      <w:r w:rsidR="000C68DF" w:rsidRPr="00285B05">
        <w:rPr>
          <w:sz w:val="24"/>
          <w:szCs w:val="24"/>
        </w:rPr>
        <w:t xml:space="preserve"> &amp; Piperine</w:t>
      </w:r>
      <w:r w:rsidR="0085740B" w:rsidRPr="00285B05">
        <w:rPr>
          <w:sz w:val="24"/>
          <w:szCs w:val="24"/>
        </w:rPr>
        <w:t>, an alkaloid,</w:t>
      </w:r>
      <w:r w:rsidR="000C68DF" w:rsidRPr="00285B05">
        <w:rPr>
          <w:sz w:val="24"/>
          <w:szCs w:val="24"/>
        </w:rPr>
        <w:t xml:space="preserve"> offer such</w:t>
      </w:r>
      <w:r w:rsidR="000C68DF" w:rsidRPr="00285B05">
        <w:rPr>
          <w:sz w:val="24"/>
          <w:szCs w:val="24"/>
        </w:rPr>
        <w:t xml:space="preserve"> sustainable options as they</w:t>
      </w:r>
      <w:r w:rsidR="00772B31" w:rsidRPr="00285B05">
        <w:rPr>
          <w:sz w:val="24"/>
          <w:szCs w:val="24"/>
        </w:rPr>
        <w:t xml:space="preserve"> </w:t>
      </w:r>
      <w:r w:rsidR="005F79C5" w:rsidRPr="00285B05">
        <w:rPr>
          <w:sz w:val="24"/>
          <w:szCs w:val="24"/>
        </w:rPr>
        <w:t xml:space="preserve">were found to have highest molecular docking score (binding energy of - 9.99 &amp; 9.94 kcal/ mol) amongst 8 bioactives studied with respect to </w:t>
      </w:r>
      <w:r w:rsidR="003F2F70">
        <w:rPr>
          <w:sz w:val="24"/>
          <w:szCs w:val="24"/>
        </w:rPr>
        <w:t xml:space="preserve">active side PDBID </w:t>
      </w:r>
      <w:r w:rsidR="005F79C5" w:rsidRPr="00285B05">
        <w:rPr>
          <w:sz w:val="24"/>
          <w:szCs w:val="24"/>
        </w:rPr>
        <w:t>IKR5</w:t>
      </w:r>
      <w:r w:rsidR="00895B57" w:rsidRPr="00285B05">
        <w:rPr>
          <w:sz w:val="24"/>
          <w:szCs w:val="24"/>
        </w:rPr>
        <w:t xml:space="preserve"> and higher than the standard </w:t>
      </w:r>
      <w:r w:rsidR="00895B57" w:rsidRPr="00285B05">
        <w:rPr>
          <w:rFonts w:cs="FSBrabo-Regular"/>
          <w:sz w:val="24"/>
          <w:szCs w:val="24"/>
          <w:lang w:bidi="mr-IN"/>
        </w:rPr>
        <w:t>methotrexate (</w:t>
      </w:r>
      <w:r w:rsidR="00895B57" w:rsidRPr="00285B05">
        <w:rPr>
          <w:rFonts w:cs="STIXGeneral-Regular"/>
          <w:sz w:val="24"/>
          <w:szCs w:val="24"/>
          <w:lang w:bidi="mr-IN"/>
        </w:rPr>
        <w:t>−</w:t>
      </w:r>
      <w:r w:rsidR="00895B57" w:rsidRPr="00285B05">
        <w:rPr>
          <w:rFonts w:cs="FSBrabo-Regular"/>
          <w:sz w:val="24"/>
          <w:szCs w:val="24"/>
          <w:lang w:bidi="mr-IN"/>
        </w:rPr>
        <w:t>8.6), NSAID</w:t>
      </w:r>
      <w:r w:rsidR="00285B05" w:rsidRPr="00285B05">
        <w:rPr>
          <w:rFonts w:cs="FSBrabo-Regular"/>
          <w:sz w:val="24"/>
          <w:szCs w:val="24"/>
          <w:lang w:bidi="mr-IN"/>
        </w:rPr>
        <w:t xml:space="preserve"> (non-steroidal anti-inflammatory drug)</w:t>
      </w:r>
      <w:r w:rsidR="005F79C5" w:rsidRPr="00285B05">
        <w:rPr>
          <w:sz w:val="24"/>
          <w:szCs w:val="24"/>
        </w:rPr>
        <w:t xml:space="preserve">. </w:t>
      </w:r>
      <w:r w:rsidR="00895B57" w:rsidRPr="00285B05">
        <w:rPr>
          <w:sz w:val="24"/>
          <w:szCs w:val="24"/>
        </w:rPr>
        <w:t xml:space="preserve">These bioactives </w:t>
      </w:r>
      <w:r w:rsidR="00772B31" w:rsidRPr="00285B05">
        <w:rPr>
          <w:sz w:val="24"/>
          <w:szCs w:val="24"/>
        </w:rPr>
        <w:t>selectively inhibit the cyclooxygenase 2 (COX2) inflammatory enzyme and mediators such as prostaglandins</w:t>
      </w:r>
      <w:r w:rsidR="00E33A06" w:rsidRPr="00285B05">
        <w:rPr>
          <w:sz w:val="24"/>
          <w:szCs w:val="24"/>
        </w:rPr>
        <w:t xml:space="preserve">, and consequent </w:t>
      </w:r>
      <w:r w:rsidR="005B2C11" w:rsidRPr="00285B05">
        <w:rPr>
          <w:rFonts w:ascii="Cambria" w:hAnsi="Cambria"/>
          <w:color w:val="212121"/>
          <w:sz w:val="24"/>
          <w:szCs w:val="24"/>
          <w:shd w:val="clear" w:color="auto" w:fill="FFFFFF"/>
        </w:rPr>
        <w:t>NF-</w:t>
      </w:r>
      <w:r w:rsidR="005B2C11" w:rsidRPr="00285B05">
        <w:rPr>
          <w:rStyle w:val="Emphasis"/>
          <w:rFonts w:ascii="Cambria" w:hAnsi="Cambria"/>
          <w:color w:val="212121"/>
          <w:sz w:val="24"/>
          <w:szCs w:val="24"/>
          <w:shd w:val="clear" w:color="auto" w:fill="FFFFFF"/>
        </w:rPr>
        <w:t>κ</w:t>
      </w:r>
      <w:r w:rsidR="005B2C11" w:rsidRPr="00285B05">
        <w:rPr>
          <w:rFonts w:ascii="Cambria" w:hAnsi="Cambria"/>
          <w:color w:val="212121"/>
          <w:sz w:val="24"/>
          <w:szCs w:val="24"/>
          <w:shd w:val="clear" w:color="auto" w:fill="FFFFFF"/>
        </w:rPr>
        <w:t>B pathway</w:t>
      </w:r>
      <w:r w:rsidR="005B2C11" w:rsidRPr="00285B05"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</w:t>
      </w:r>
      <w:r w:rsidR="00E33A06" w:rsidRPr="00285B05"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that </w:t>
      </w:r>
      <w:r w:rsidR="005B2C11" w:rsidRPr="00285B05">
        <w:rPr>
          <w:rFonts w:ascii="Cambria" w:hAnsi="Cambria"/>
          <w:color w:val="212121"/>
          <w:sz w:val="24"/>
          <w:szCs w:val="24"/>
          <w:shd w:val="clear" w:color="auto" w:fill="FFFFFF"/>
        </w:rPr>
        <w:t>produc</w:t>
      </w:r>
      <w:r w:rsidR="005B2C11" w:rsidRPr="00285B05">
        <w:rPr>
          <w:rFonts w:ascii="Cambria" w:hAnsi="Cambria"/>
          <w:color w:val="212121"/>
          <w:sz w:val="24"/>
          <w:szCs w:val="24"/>
          <w:shd w:val="clear" w:color="auto" w:fill="FFFFFF"/>
        </w:rPr>
        <w:t>e</w:t>
      </w:r>
      <w:r w:rsidR="00E33A06" w:rsidRPr="00285B05">
        <w:rPr>
          <w:rFonts w:ascii="Cambria" w:hAnsi="Cambria"/>
          <w:color w:val="212121"/>
          <w:sz w:val="24"/>
          <w:szCs w:val="24"/>
          <w:shd w:val="clear" w:color="auto" w:fill="FFFFFF"/>
        </w:rPr>
        <w:t>s</w:t>
      </w:r>
      <w:r w:rsidR="005B2C11" w:rsidRPr="00285B05"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reactive oxygen species (ROS)</w:t>
      </w:r>
      <w:r w:rsidR="005B2C11" w:rsidRPr="00285B05"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. </w:t>
      </w:r>
      <w:r w:rsidR="00E33A06" w:rsidRPr="00285B05">
        <w:rPr>
          <w:rFonts w:ascii="Cambria" w:hAnsi="Cambria"/>
          <w:color w:val="212121"/>
          <w:sz w:val="24"/>
          <w:szCs w:val="24"/>
          <w:shd w:val="clear" w:color="auto" w:fill="FFFFFF"/>
        </w:rPr>
        <w:t>P</w:t>
      </w:r>
      <w:r w:rsidR="005B2C11" w:rsidRPr="00285B05">
        <w:rPr>
          <w:rFonts w:ascii="Cambria" w:hAnsi="Cambria"/>
          <w:color w:val="212121"/>
          <w:sz w:val="24"/>
          <w:szCs w:val="24"/>
          <w:shd w:val="clear" w:color="auto" w:fill="FFFFFF"/>
        </w:rPr>
        <w:t>roduc</w:t>
      </w:r>
      <w:r w:rsidR="00E33A06" w:rsidRPr="00285B05"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tion </w:t>
      </w:r>
      <w:r w:rsidR="005B2C11" w:rsidRPr="00285B05">
        <w:rPr>
          <w:rFonts w:ascii="Cambria" w:hAnsi="Cambria"/>
          <w:color w:val="212121"/>
          <w:sz w:val="24"/>
          <w:szCs w:val="24"/>
          <w:shd w:val="clear" w:color="auto" w:fill="FFFFFF"/>
        </w:rPr>
        <w:t>of pro-inflammatory cytokines</w:t>
      </w:r>
      <w:r w:rsidR="00E33A06" w:rsidRPr="00285B05"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is thus dropped</w:t>
      </w:r>
      <w:r w:rsidR="005B2C11" w:rsidRPr="00285B05">
        <w:rPr>
          <w:rFonts w:ascii="Cambria" w:hAnsi="Cambria"/>
          <w:color w:val="212121"/>
          <w:sz w:val="24"/>
          <w:szCs w:val="24"/>
          <w:shd w:val="clear" w:color="auto" w:fill="FFFFFF"/>
        </w:rPr>
        <w:t>, including NO, PGE</w:t>
      </w:r>
      <w:r w:rsidR="005B2C11" w:rsidRPr="00285B05">
        <w:rPr>
          <w:rFonts w:ascii="Cambria" w:hAnsi="Cambria"/>
          <w:color w:val="212121"/>
          <w:sz w:val="24"/>
          <w:szCs w:val="24"/>
          <w:shd w:val="clear" w:color="auto" w:fill="FFFFFF"/>
          <w:vertAlign w:val="subscript"/>
        </w:rPr>
        <w:t>2</w:t>
      </w:r>
      <w:r w:rsidR="005B2C11" w:rsidRPr="00285B05">
        <w:rPr>
          <w:rFonts w:ascii="Cambria" w:hAnsi="Cambria"/>
          <w:color w:val="212121"/>
          <w:sz w:val="24"/>
          <w:szCs w:val="24"/>
          <w:shd w:val="clear" w:color="auto" w:fill="FFFFFF"/>
        </w:rPr>
        <w:t>, IL-6, and TNF-</w:t>
      </w:r>
      <w:r w:rsidR="005B2C11" w:rsidRPr="00285B05">
        <w:rPr>
          <w:rStyle w:val="Emphasis"/>
          <w:rFonts w:ascii="Cambria" w:hAnsi="Cambria"/>
          <w:color w:val="212121"/>
          <w:sz w:val="24"/>
          <w:szCs w:val="24"/>
          <w:shd w:val="clear" w:color="auto" w:fill="FFFFFF"/>
        </w:rPr>
        <w:t>α</w:t>
      </w:r>
      <w:r w:rsidR="000C68DF" w:rsidRPr="00285B05">
        <w:rPr>
          <w:sz w:val="24"/>
          <w:szCs w:val="24"/>
        </w:rPr>
        <w:t>. N</w:t>
      </w:r>
      <w:r w:rsidR="000C68DF" w:rsidRPr="00285B05">
        <w:rPr>
          <w:sz w:val="24"/>
          <w:szCs w:val="24"/>
        </w:rPr>
        <w:t xml:space="preserve">anotechnology </w:t>
      </w:r>
      <w:r w:rsidR="000C68DF" w:rsidRPr="00285B05">
        <w:rPr>
          <w:sz w:val="24"/>
          <w:szCs w:val="24"/>
        </w:rPr>
        <w:t>such as silver/ gold nanoparticles used in traditional</w:t>
      </w:r>
      <w:r w:rsidR="000C68DF" w:rsidRPr="00285B05">
        <w:rPr>
          <w:sz w:val="24"/>
          <w:szCs w:val="24"/>
        </w:rPr>
        <w:t xml:space="preserve"> </w:t>
      </w:r>
      <w:r w:rsidR="005B2C11" w:rsidRPr="00285B05">
        <w:rPr>
          <w:sz w:val="24"/>
          <w:szCs w:val="24"/>
        </w:rPr>
        <w:t>Indian</w:t>
      </w:r>
      <w:r w:rsidR="000C68DF" w:rsidRPr="00285B05">
        <w:rPr>
          <w:sz w:val="24"/>
          <w:szCs w:val="24"/>
        </w:rPr>
        <w:t xml:space="preserve"> medicinal systems viz. Ayurveda  &amp;Siddha or newer techniques like hydrogel, emulsions can improve the bioavailability of the active ingredients </w:t>
      </w:r>
      <w:r w:rsidR="000C68DF" w:rsidRPr="00285B05">
        <w:rPr>
          <w:sz w:val="24"/>
          <w:szCs w:val="24"/>
        </w:rPr>
        <w:lastRenderedPageBreak/>
        <w:t xml:space="preserve">and ensure higher efficacy for relief to the elderly people. </w:t>
      </w:r>
      <w:r w:rsidR="000C68DF" w:rsidRPr="00285B05">
        <w:rPr>
          <w:sz w:val="24"/>
          <w:szCs w:val="24"/>
        </w:rPr>
        <w:t xml:space="preserve"> </w:t>
      </w:r>
      <w:r w:rsidR="005B2C11" w:rsidRPr="00285B05">
        <w:rPr>
          <w:sz w:val="24"/>
          <w:szCs w:val="24"/>
        </w:rPr>
        <w:t>Future drug development need</w:t>
      </w:r>
      <w:r w:rsidR="00BE55AE">
        <w:rPr>
          <w:sz w:val="24"/>
          <w:szCs w:val="24"/>
        </w:rPr>
        <w:t>s</w:t>
      </w:r>
      <w:bookmarkStart w:id="0" w:name="_GoBack"/>
      <w:bookmarkEnd w:id="0"/>
      <w:r w:rsidR="005B2C11" w:rsidRPr="00285B05">
        <w:rPr>
          <w:sz w:val="24"/>
          <w:szCs w:val="24"/>
        </w:rPr>
        <w:t xml:space="preserve"> to follow the biodiversity access &amp; benefit sharing provisions, under the international convention on biological diversity (CBD). </w:t>
      </w:r>
      <w:r w:rsidR="000C68DF" w:rsidRPr="00285B05">
        <w:rPr>
          <w:sz w:val="24"/>
          <w:szCs w:val="24"/>
        </w:rPr>
        <w:t xml:space="preserve">   </w:t>
      </w:r>
    </w:p>
    <w:p w:rsidR="008468E5" w:rsidRDefault="008468E5" w:rsidP="00285B0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8468E5" w:rsidRDefault="008468E5" w:rsidP="00285B0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8468E5" w:rsidRDefault="008468E5" w:rsidP="008468E5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9537D7" w:rsidRPr="00127B5F" w:rsidRDefault="009537D7" w:rsidP="00127B5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127B5F">
        <w:rPr>
          <w:sz w:val="24"/>
          <w:szCs w:val="24"/>
        </w:rPr>
        <w:t xml:space="preserve">Ghate U. and Wele A., 2022. </w:t>
      </w:r>
      <w:r w:rsidR="004E504B" w:rsidRPr="00127B5F">
        <w:rPr>
          <w:sz w:val="24"/>
          <w:szCs w:val="24"/>
        </w:rPr>
        <w:t>G</w:t>
      </w:r>
      <w:r w:rsidRPr="00127B5F">
        <w:rPr>
          <w:sz w:val="24"/>
          <w:szCs w:val="24"/>
        </w:rPr>
        <w:t>lobalisation</w:t>
      </w:r>
      <w:r w:rsidR="004E504B" w:rsidRPr="00127B5F">
        <w:rPr>
          <w:sz w:val="24"/>
          <w:szCs w:val="24"/>
        </w:rPr>
        <w:t xml:space="preserve"> of AYUSH products: Status, challenges suggestions for growth. Jr Trad. Med. Review. Vol. 1 no. 2 pp. 21-24. </w:t>
      </w:r>
    </w:p>
    <w:p w:rsidR="009537D7" w:rsidRPr="00127B5F" w:rsidRDefault="009537D7" w:rsidP="00285B0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9537D7" w:rsidRPr="00127B5F" w:rsidRDefault="004E504B" w:rsidP="00127B5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127B5F">
        <w:rPr>
          <w:sz w:val="24"/>
          <w:szCs w:val="24"/>
        </w:rPr>
        <w:t xml:space="preserve">GhateU. And Kulkarni H., 2022. </w:t>
      </w:r>
      <w:r w:rsidRPr="00127B5F">
        <w:rPr>
          <w:rFonts w:cs="Cambria-Bold"/>
          <w:sz w:val="24"/>
          <w:szCs w:val="24"/>
          <w:lang w:bidi="mr-IN"/>
        </w:rPr>
        <w:t>Packed Foods Related to COVID-19</w:t>
      </w:r>
      <w:r w:rsidRPr="00127B5F">
        <w:rPr>
          <w:rFonts w:cs="Cambria-Bold"/>
          <w:sz w:val="24"/>
          <w:szCs w:val="24"/>
          <w:lang w:bidi="mr-IN"/>
        </w:rPr>
        <w:t>.</w:t>
      </w:r>
      <w:r w:rsidRPr="00127B5F">
        <w:rPr>
          <w:sz w:val="24"/>
          <w:szCs w:val="24"/>
        </w:rPr>
        <w:t xml:space="preserve"> </w:t>
      </w:r>
      <w:r w:rsidRPr="00127B5F">
        <w:rPr>
          <w:rFonts w:cs="Cambria-Bold"/>
          <w:sz w:val="24"/>
          <w:szCs w:val="24"/>
          <w:lang w:bidi="mr-IN"/>
        </w:rPr>
        <w:t>J Ecol Nat Reso</w:t>
      </w:r>
      <w:r w:rsidRPr="00127B5F">
        <w:rPr>
          <w:rFonts w:cs="Cambria-Bold"/>
          <w:sz w:val="24"/>
          <w:szCs w:val="24"/>
          <w:lang w:bidi="mr-IN"/>
        </w:rPr>
        <w:t>, vol.6 no 4 pp. 4.</w:t>
      </w:r>
    </w:p>
    <w:p w:rsidR="004E504B" w:rsidRPr="00127B5F" w:rsidRDefault="004E504B" w:rsidP="00285B0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4E504B" w:rsidRPr="00127B5F" w:rsidRDefault="004E504B" w:rsidP="00127B5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MyriadPro-Bold"/>
          <w:color w:val="8F2718"/>
          <w:sz w:val="24"/>
          <w:szCs w:val="24"/>
          <w:lang w:bidi="mr-IN"/>
        </w:rPr>
      </w:pPr>
      <w:r w:rsidRPr="00127B5F">
        <w:rPr>
          <w:rFonts w:cs="MyriadPro-Semibold"/>
          <w:sz w:val="24"/>
          <w:szCs w:val="24"/>
          <w:lang w:bidi="mr-IN"/>
        </w:rPr>
        <w:t xml:space="preserve">Ghate U., Kulkarni H., DeshpandeM., Akkalkotkar M. 2022. </w:t>
      </w:r>
      <w:r w:rsidRPr="00127B5F">
        <w:rPr>
          <w:rFonts w:cs="MyriadPro-Bold"/>
          <w:sz w:val="24"/>
          <w:szCs w:val="24"/>
          <w:lang w:bidi="mr-IN"/>
        </w:rPr>
        <w:t xml:space="preserve">Threatened Ayurvedic Herb (Seeta Ashoka) Substitution Options for Menorrhagia- based on Bioactive Principle’s Molecular Docking Study. Int jr Pharma invest. Vol. 12 no. 3 pp. 1-5. </w:t>
      </w:r>
    </w:p>
    <w:p w:rsidR="004E504B" w:rsidRPr="00127B5F" w:rsidRDefault="004E504B" w:rsidP="00285B0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127B5F" w:rsidRPr="00127B5F" w:rsidRDefault="00127B5F" w:rsidP="00127B5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Cambria"/>
          <w:sz w:val="24"/>
          <w:szCs w:val="24"/>
        </w:rPr>
      </w:pPr>
      <w:r w:rsidRPr="00127B5F">
        <w:rPr>
          <w:rFonts w:cs="Cambria"/>
          <w:sz w:val="24"/>
          <w:szCs w:val="24"/>
        </w:rPr>
        <w:t>Ghate U, Kulkarni H. Polyphenols, Spices and Vegetarian Diet for Immunity and Anti-Inflammatory Drug Design. In Zepka, et al. (Eds.), Bioactive Compounds- Biosynthesis, Characterization</w:t>
      </w:r>
      <w:r>
        <w:rPr>
          <w:rFonts w:cs="Cambria"/>
          <w:sz w:val="24"/>
          <w:szCs w:val="24"/>
        </w:rPr>
        <w:t>,</w:t>
      </w:r>
      <w:r w:rsidRPr="00127B5F">
        <w:rPr>
          <w:rFonts w:cs="Cambria"/>
          <w:sz w:val="24"/>
          <w:szCs w:val="24"/>
        </w:rPr>
        <w:t xml:space="preserve"> Applications. Intechopen, London; 2021. pp: 63-76.</w:t>
      </w:r>
    </w:p>
    <w:p w:rsidR="00127B5F" w:rsidRPr="00127B5F" w:rsidRDefault="00127B5F" w:rsidP="00285B0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127B5F" w:rsidRDefault="00127B5F" w:rsidP="00127B5F">
      <w:pPr>
        <w:pStyle w:val="Default"/>
      </w:pPr>
    </w:p>
    <w:p w:rsidR="00127B5F" w:rsidRDefault="00127B5F" w:rsidP="00127B5F">
      <w:pPr>
        <w:pStyle w:val="Default"/>
        <w:rPr>
          <w:rFonts w:asciiTheme="minorHAnsi" w:hAnsiTheme="minorHAnsi"/>
        </w:rPr>
        <w:sectPr w:rsidR="00127B5F" w:rsidSect="00127B5F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 w:rsidRPr="00127B5F">
        <w:rPr>
          <w:rFonts w:asciiTheme="minorHAnsi" w:hAnsiTheme="minorHAnsi"/>
        </w:rPr>
        <w:lastRenderedPageBreak/>
        <w:t xml:space="preserve">Ghate U., H. Kulkarni, A Arunachalam, 2019. Spices in the eastern Indian laterite </w:t>
      </w:r>
      <w:r w:rsidRPr="00127B5F">
        <w:rPr>
          <w:rFonts w:asciiTheme="minorHAnsi" w:hAnsiTheme="minorHAnsi"/>
        </w:rPr>
        <w:lastRenderedPageBreak/>
        <w:t xml:space="preserve">soil have more polyphenols? </w:t>
      </w:r>
      <w:r w:rsidRPr="00127B5F">
        <w:rPr>
          <w:rFonts w:asciiTheme="minorHAnsi" w:hAnsiTheme="minorHAnsi"/>
          <w:i/>
          <w:iCs/>
        </w:rPr>
        <w:t>Ind. Jr. Hill Farming</w:t>
      </w:r>
      <w:r w:rsidRPr="00127B5F">
        <w:rPr>
          <w:rFonts w:asciiTheme="minorHAnsi" w:hAnsiTheme="minorHAnsi"/>
        </w:rPr>
        <w:t>. 32(2), 236-238.</w:t>
      </w:r>
    </w:p>
    <w:p w:rsidR="00127B5F" w:rsidRPr="00127B5F" w:rsidRDefault="00127B5F" w:rsidP="00127B5F">
      <w:pPr>
        <w:pStyle w:val="Default"/>
        <w:rPr>
          <w:rFonts w:asciiTheme="minorHAnsi" w:hAnsiTheme="minorHAnsi"/>
        </w:rPr>
      </w:pPr>
      <w:r w:rsidRPr="00127B5F">
        <w:rPr>
          <w:rFonts w:asciiTheme="minorHAnsi" w:hAnsiTheme="minorHAnsi"/>
        </w:rPr>
        <w:lastRenderedPageBreak/>
        <w:t xml:space="preserve"> </w:t>
      </w:r>
    </w:p>
    <w:p w:rsidR="008468E5" w:rsidRDefault="008468E5" w:rsidP="00285B0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A07E9B" w:rsidRDefault="00A07E9B" w:rsidP="00A07E9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 (150 word limit)</w:t>
      </w:r>
    </w:p>
    <w:p w:rsidR="000C68DF" w:rsidRDefault="00ED0005">
      <w:r>
        <w:t xml:space="preserve">Utkarsh Ghate has botany doctorate &amp; 25 years of herbal trade experience to the Ayurvedic  corporate in india and few biotech projects through NGOs &amp; women led microenterprise that won national biodiversity award, 2016. He has travelled globally for research conferences. Hema Kulkarni has post doc </w:t>
      </w:r>
      <w:r>
        <w:t>in Zoology &amp; genetics</w:t>
      </w:r>
      <w:r>
        <w:t xml:space="preserve"> in 25 years of teaching experience, including pre-medical test students. She has 10 research publications </w:t>
      </w:r>
      <w:r>
        <w:t>spoke at selected international conferences</w:t>
      </w:r>
      <w:r>
        <w:t xml:space="preserve">.  </w:t>
      </w:r>
    </w:p>
    <w:p w:rsidR="00ED0005" w:rsidRDefault="00ED0005">
      <w:r>
        <w:t xml:space="preserve">Email- </w:t>
      </w:r>
      <w:hyperlink r:id="rId6" w:history="1">
        <w:r w:rsidRPr="00116026">
          <w:rPr>
            <w:rStyle w:val="Hyperlink"/>
          </w:rPr>
          <w:t>ughaate@gmail.com</w:t>
        </w:r>
      </w:hyperlink>
      <w:r>
        <w:t xml:space="preserve">, </w:t>
      </w:r>
      <w:hyperlink r:id="rId7" w:history="1">
        <w:r w:rsidRPr="00116026">
          <w:rPr>
            <w:rStyle w:val="Hyperlink"/>
          </w:rPr>
          <w:t>drhemakulkarni@gmail.com</w:t>
        </w:r>
      </w:hyperlink>
      <w:r>
        <w:t xml:space="preserve">  </w:t>
      </w:r>
    </w:p>
    <w:p w:rsidR="004E504B" w:rsidRDefault="004E504B"/>
    <w:p w:rsidR="004E504B" w:rsidRDefault="004E504B"/>
    <w:p w:rsidR="004E504B" w:rsidRPr="004E504B" w:rsidRDefault="004E504B" w:rsidP="004E504B">
      <w:pPr>
        <w:rPr>
          <w:rFonts w:cs="MyriadPro-Semibold"/>
          <w:color w:val="8F2718"/>
          <w:sz w:val="24"/>
          <w:szCs w:val="24"/>
          <w:lang w:bidi="mr-IN"/>
        </w:rPr>
      </w:pPr>
    </w:p>
    <w:sectPr w:rsidR="004E504B" w:rsidRPr="004E504B" w:rsidSect="00127B5F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FS Brabo">
    <w:altName w:val="FS Brabo"/>
    <w:charset w:val="00"/>
    <w:family w:val="roman"/>
    <w:pitch w:val="variable"/>
    <w:sig w:usb0="00000003" w:usb1="00000000" w:usb2="00000000" w:usb3="00000000" w:csb0="00000001" w:csb1="00000000"/>
  </w:font>
  <w:font w:name="FSBrab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TIXGeneral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04C4E"/>
    <w:multiLevelType w:val="hybridMultilevel"/>
    <w:tmpl w:val="2DA2209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8C125D"/>
    <w:multiLevelType w:val="multilevel"/>
    <w:tmpl w:val="55FC0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C171DD"/>
    <w:multiLevelType w:val="multilevel"/>
    <w:tmpl w:val="19D0B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8DF"/>
    <w:rsid w:val="000C68DF"/>
    <w:rsid w:val="00127B5F"/>
    <w:rsid w:val="00285B05"/>
    <w:rsid w:val="00391F33"/>
    <w:rsid w:val="003F2F70"/>
    <w:rsid w:val="004E504B"/>
    <w:rsid w:val="005B2C11"/>
    <w:rsid w:val="005F79C5"/>
    <w:rsid w:val="00772B31"/>
    <w:rsid w:val="008042CF"/>
    <w:rsid w:val="008468E5"/>
    <w:rsid w:val="0085740B"/>
    <w:rsid w:val="00895B57"/>
    <w:rsid w:val="009537D7"/>
    <w:rsid w:val="00A07E9B"/>
    <w:rsid w:val="00BE55AE"/>
    <w:rsid w:val="00C050DA"/>
    <w:rsid w:val="00CB25A5"/>
    <w:rsid w:val="00D839C1"/>
    <w:rsid w:val="00E33A06"/>
    <w:rsid w:val="00ED0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8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5B2C11"/>
    <w:rPr>
      <w:i/>
      <w:iCs/>
    </w:rPr>
  </w:style>
  <w:style w:type="character" w:styleId="Hyperlink">
    <w:name w:val="Hyperlink"/>
    <w:uiPriority w:val="99"/>
    <w:unhideWhenUsed/>
    <w:rsid w:val="00A07E9B"/>
    <w:rPr>
      <w:color w:val="0000FF"/>
      <w:u w:val="single"/>
    </w:rPr>
  </w:style>
  <w:style w:type="character" w:customStyle="1" w:styleId="nova-legacy-e-badge">
    <w:name w:val="nova-legacy-e-badge"/>
    <w:basedOn w:val="DefaultParagraphFont"/>
    <w:rsid w:val="009537D7"/>
  </w:style>
  <w:style w:type="character" w:customStyle="1" w:styleId="nova-legacy-v-person-inline-itemimage-container">
    <w:name w:val="nova-legacy-v-person-inline-item__image-container"/>
    <w:basedOn w:val="DefaultParagraphFont"/>
    <w:rsid w:val="009537D7"/>
  </w:style>
  <w:style w:type="character" w:customStyle="1" w:styleId="nova-legacy-v-person-inline-itemfullname">
    <w:name w:val="nova-legacy-v-person-inline-item__fullname"/>
    <w:basedOn w:val="DefaultParagraphFont"/>
    <w:rsid w:val="009537D7"/>
  </w:style>
  <w:style w:type="paragraph" w:customStyle="1" w:styleId="Default">
    <w:name w:val="Default"/>
    <w:rsid w:val="00127B5F"/>
    <w:pPr>
      <w:autoSpaceDE w:val="0"/>
      <w:autoSpaceDN w:val="0"/>
      <w:adjustRightInd w:val="0"/>
      <w:spacing w:after="0" w:line="240" w:lineRule="auto"/>
    </w:pPr>
    <w:rPr>
      <w:rFonts w:ascii="FS Brabo" w:hAnsi="FS Brabo" w:cs="FS Brabo"/>
      <w:color w:val="000000"/>
      <w:sz w:val="24"/>
      <w:szCs w:val="24"/>
      <w:lang w:bidi="mr-IN"/>
    </w:rPr>
  </w:style>
  <w:style w:type="paragraph" w:styleId="ListParagraph">
    <w:name w:val="List Paragraph"/>
    <w:basedOn w:val="Normal"/>
    <w:uiPriority w:val="34"/>
    <w:qFormat/>
    <w:rsid w:val="00127B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8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5B2C11"/>
    <w:rPr>
      <w:i/>
      <w:iCs/>
    </w:rPr>
  </w:style>
  <w:style w:type="character" w:styleId="Hyperlink">
    <w:name w:val="Hyperlink"/>
    <w:uiPriority w:val="99"/>
    <w:unhideWhenUsed/>
    <w:rsid w:val="00A07E9B"/>
    <w:rPr>
      <w:color w:val="0000FF"/>
      <w:u w:val="single"/>
    </w:rPr>
  </w:style>
  <w:style w:type="character" w:customStyle="1" w:styleId="nova-legacy-e-badge">
    <w:name w:val="nova-legacy-e-badge"/>
    <w:basedOn w:val="DefaultParagraphFont"/>
    <w:rsid w:val="009537D7"/>
  </w:style>
  <w:style w:type="character" w:customStyle="1" w:styleId="nova-legacy-v-person-inline-itemimage-container">
    <w:name w:val="nova-legacy-v-person-inline-item__image-container"/>
    <w:basedOn w:val="DefaultParagraphFont"/>
    <w:rsid w:val="009537D7"/>
  </w:style>
  <w:style w:type="character" w:customStyle="1" w:styleId="nova-legacy-v-person-inline-itemfullname">
    <w:name w:val="nova-legacy-v-person-inline-item__fullname"/>
    <w:basedOn w:val="DefaultParagraphFont"/>
    <w:rsid w:val="009537D7"/>
  </w:style>
  <w:style w:type="paragraph" w:customStyle="1" w:styleId="Default">
    <w:name w:val="Default"/>
    <w:rsid w:val="00127B5F"/>
    <w:pPr>
      <w:autoSpaceDE w:val="0"/>
      <w:autoSpaceDN w:val="0"/>
      <w:adjustRightInd w:val="0"/>
      <w:spacing w:after="0" w:line="240" w:lineRule="auto"/>
    </w:pPr>
    <w:rPr>
      <w:rFonts w:ascii="FS Brabo" w:hAnsi="FS Brabo" w:cs="FS Brabo"/>
      <w:color w:val="000000"/>
      <w:sz w:val="24"/>
      <w:szCs w:val="24"/>
      <w:lang w:bidi="mr-IN"/>
    </w:rPr>
  </w:style>
  <w:style w:type="paragraph" w:styleId="ListParagraph">
    <w:name w:val="List Paragraph"/>
    <w:basedOn w:val="Normal"/>
    <w:uiPriority w:val="34"/>
    <w:qFormat/>
    <w:rsid w:val="00127B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8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80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3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369366">
                  <w:marLeft w:val="0"/>
                  <w:marRight w:val="7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447003">
                  <w:marLeft w:val="75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29415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2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35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drhemakulkarn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ghaate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SVG</dc:creator>
  <cp:lastModifiedBy>SVG</cp:lastModifiedBy>
  <cp:revision>11</cp:revision>
  <dcterms:created xsi:type="dcterms:W3CDTF">2023-03-22T16:04:00Z</dcterms:created>
  <dcterms:modified xsi:type="dcterms:W3CDTF">2023-03-22T18:18:00Z</dcterms:modified>
</cp:coreProperties>
</file>