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5B9" w:rsidRPr="009C5E75" w:rsidRDefault="00BD45B9" w:rsidP="00BD45B9">
      <w:pPr>
        <w:spacing w:after="0" w:line="240" w:lineRule="auto"/>
        <w:jc w:val="center"/>
        <w:rPr>
          <w:rFonts w:ascii="Times New Roman" w:hAnsi="Times New Roman"/>
          <w:sz w:val="24"/>
          <w:szCs w:val="24"/>
        </w:rPr>
      </w:pPr>
      <w:proofErr w:type="gramStart"/>
      <w:r>
        <w:rPr>
          <w:rFonts w:ascii="Times New Roman" w:hAnsi="Times New Roman"/>
          <w:b/>
          <w:bCs/>
          <w:color w:val="231F20"/>
          <w:sz w:val="24"/>
          <w:szCs w:val="24"/>
        </w:rPr>
        <w:t>Effect</w:t>
      </w:r>
      <w:r w:rsidRPr="009C5E75">
        <w:rPr>
          <w:rFonts w:ascii="Times New Roman" w:hAnsi="Times New Roman"/>
          <w:b/>
          <w:bCs/>
          <w:color w:val="231F20"/>
          <w:sz w:val="24"/>
          <w:szCs w:val="24"/>
        </w:rPr>
        <w:t xml:space="preserve"> </w:t>
      </w:r>
      <w:r>
        <w:rPr>
          <w:rFonts w:ascii="Times New Roman" w:hAnsi="Times New Roman"/>
          <w:b/>
          <w:bCs/>
          <w:color w:val="231F20"/>
          <w:sz w:val="24"/>
          <w:szCs w:val="24"/>
        </w:rPr>
        <w:t>o</w:t>
      </w:r>
      <w:r w:rsidRPr="009C5E75">
        <w:rPr>
          <w:rFonts w:ascii="Times New Roman" w:hAnsi="Times New Roman"/>
          <w:b/>
          <w:bCs/>
          <w:color w:val="231F20"/>
          <w:sz w:val="24"/>
          <w:szCs w:val="24"/>
        </w:rPr>
        <w:t xml:space="preserve">f </w:t>
      </w:r>
      <w:r w:rsidRPr="009C5E75">
        <w:rPr>
          <w:rFonts w:ascii="Times New Roman" w:hAnsi="Times New Roman"/>
          <w:b/>
          <w:bCs/>
          <w:i/>
          <w:iCs/>
          <w:color w:val="231F20"/>
          <w:sz w:val="24"/>
          <w:szCs w:val="24"/>
        </w:rPr>
        <w:t>Rhizobium</w:t>
      </w:r>
      <w:r w:rsidRPr="009C5E75">
        <w:rPr>
          <w:rFonts w:ascii="Times New Roman" w:hAnsi="Times New Roman"/>
          <w:b/>
          <w:bCs/>
          <w:color w:val="231F20"/>
          <w:sz w:val="24"/>
          <w:szCs w:val="24"/>
        </w:rPr>
        <w:t xml:space="preserve"> Inoculation </w:t>
      </w:r>
      <w:r>
        <w:rPr>
          <w:rFonts w:ascii="Times New Roman" w:hAnsi="Times New Roman"/>
          <w:b/>
          <w:bCs/>
          <w:color w:val="231F20"/>
          <w:sz w:val="24"/>
          <w:szCs w:val="24"/>
        </w:rPr>
        <w:t>a</w:t>
      </w:r>
      <w:r w:rsidRPr="009C5E75">
        <w:rPr>
          <w:rFonts w:ascii="Times New Roman" w:hAnsi="Times New Roman"/>
          <w:b/>
          <w:bCs/>
          <w:color w:val="231F20"/>
          <w:sz w:val="24"/>
          <w:szCs w:val="24"/>
        </w:rPr>
        <w:t>nd Phosphorus Fertilization</w:t>
      </w:r>
      <w:r>
        <w:rPr>
          <w:rFonts w:ascii="Times New Roman" w:hAnsi="Times New Roman"/>
          <w:b/>
          <w:bCs/>
          <w:color w:val="231F20"/>
          <w:sz w:val="24"/>
          <w:szCs w:val="24"/>
        </w:rPr>
        <w:t xml:space="preserve"> on Growth and Yield of </w:t>
      </w:r>
      <w:r w:rsidRPr="003E6562">
        <w:rPr>
          <w:rFonts w:ascii="Times New Roman" w:hAnsi="Times New Roman"/>
          <w:b/>
          <w:bCs/>
          <w:color w:val="231F20"/>
          <w:sz w:val="24"/>
          <w:szCs w:val="24"/>
        </w:rPr>
        <w:t>Chickpea</w:t>
      </w:r>
      <w:r w:rsidRPr="009C5E75">
        <w:rPr>
          <w:rFonts w:ascii="Times New Roman" w:hAnsi="Times New Roman"/>
          <w:b/>
          <w:bCs/>
          <w:color w:val="231F20"/>
          <w:sz w:val="24"/>
          <w:szCs w:val="24"/>
        </w:rPr>
        <w:t xml:space="preserve"> </w:t>
      </w:r>
      <w:r w:rsidRPr="009C5E75">
        <w:rPr>
          <w:rFonts w:ascii="Times New Roman" w:hAnsi="Times New Roman"/>
          <w:b/>
          <w:bCs/>
          <w:sz w:val="24"/>
          <w:szCs w:val="24"/>
        </w:rPr>
        <w:t>(</w:t>
      </w:r>
      <w:r w:rsidRPr="009C5E75">
        <w:rPr>
          <w:rFonts w:ascii="Times New Roman" w:hAnsi="Times New Roman"/>
          <w:b/>
          <w:bCs/>
          <w:i/>
          <w:iCs/>
          <w:sz w:val="24"/>
          <w:szCs w:val="24"/>
        </w:rPr>
        <w:t>Cicer Arietinum</w:t>
      </w:r>
      <w:r w:rsidRPr="009C5E75">
        <w:rPr>
          <w:rFonts w:ascii="Times New Roman" w:hAnsi="Times New Roman"/>
          <w:b/>
          <w:bCs/>
          <w:sz w:val="24"/>
          <w:szCs w:val="24"/>
        </w:rPr>
        <w:t xml:space="preserve"> L.)</w:t>
      </w:r>
      <w:proofErr w:type="gramEnd"/>
      <w:r w:rsidRPr="009C5E75">
        <w:rPr>
          <w:rFonts w:ascii="Times New Roman" w:hAnsi="Times New Roman"/>
          <w:sz w:val="24"/>
          <w:szCs w:val="24"/>
        </w:rPr>
        <w:t xml:space="preserve"> </w:t>
      </w:r>
      <w:proofErr w:type="gramStart"/>
      <w:r w:rsidRPr="009C5E75">
        <w:rPr>
          <w:rFonts w:ascii="Times New Roman" w:hAnsi="Times New Roman"/>
          <w:b/>
          <w:bCs/>
          <w:color w:val="231F20"/>
          <w:sz w:val="24"/>
          <w:szCs w:val="24"/>
        </w:rPr>
        <w:t>Varieties</w:t>
      </w:r>
      <w:r>
        <w:rPr>
          <w:rFonts w:ascii="Times New Roman" w:hAnsi="Times New Roman"/>
          <w:b/>
          <w:bCs/>
          <w:color w:val="231F20"/>
          <w:sz w:val="24"/>
          <w:szCs w:val="24"/>
        </w:rPr>
        <w:t>.</w:t>
      </w:r>
      <w:proofErr w:type="gramEnd"/>
      <w:r w:rsidRPr="009C5E75">
        <w:rPr>
          <w:rFonts w:ascii="Times New Roman" w:hAnsi="Times New Roman"/>
          <w:b/>
          <w:bCs/>
          <w:color w:val="231F20"/>
          <w:sz w:val="24"/>
          <w:szCs w:val="24"/>
        </w:rPr>
        <w:t xml:space="preserve"> </w:t>
      </w:r>
    </w:p>
    <w:p w:rsidR="00BD45B9" w:rsidRDefault="00BD45B9" w:rsidP="00BD45B9">
      <w:pPr>
        <w:tabs>
          <w:tab w:val="left" w:pos="810"/>
        </w:tabs>
        <w:spacing w:after="0" w:line="240" w:lineRule="auto"/>
        <w:rPr>
          <w:rFonts w:ascii="Times New Roman" w:hAnsi="Times New Roman"/>
          <w:b/>
          <w:i/>
          <w:sz w:val="20"/>
          <w:szCs w:val="20"/>
        </w:rPr>
      </w:pPr>
    </w:p>
    <w:p w:rsidR="00BD45B9" w:rsidRPr="003E6562" w:rsidRDefault="00BD45B9" w:rsidP="00BD45B9">
      <w:pPr>
        <w:spacing w:after="0" w:line="240" w:lineRule="auto"/>
        <w:jc w:val="center"/>
        <w:rPr>
          <w:rFonts w:asciiTheme="majorBidi" w:hAnsiTheme="majorBidi" w:cstheme="majorBidi"/>
          <w:b/>
          <w:sz w:val="24"/>
          <w:szCs w:val="24"/>
        </w:rPr>
      </w:pPr>
      <w:r w:rsidRPr="003E6562">
        <w:rPr>
          <w:rFonts w:asciiTheme="majorBidi" w:hAnsiTheme="majorBidi" w:cstheme="majorBidi"/>
          <w:b/>
          <w:sz w:val="24"/>
          <w:szCs w:val="24"/>
          <w:vertAlign w:val="superscript"/>
        </w:rPr>
        <w:t>*</w:t>
      </w:r>
      <w:r w:rsidRPr="003E6562">
        <w:rPr>
          <w:rFonts w:asciiTheme="majorBidi" w:hAnsiTheme="majorBidi" w:cstheme="majorBidi"/>
          <w:b/>
          <w:sz w:val="24"/>
          <w:szCs w:val="24"/>
        </w:rPr>
        <w:t>S M Shehu, S Al</w:t>
      </w:r>
      <w:r>
        <w:rPr>
          <w:rFonts w:asciiTheme="majorBidi" w:hAnsiTheme="majorBidi" w:cstheme="majorBidi"/>
          <w:b/>
          <w:sz w:val="24"/>
          <w:szCs w:val="24"/>
        </w:rPr>
        <w:t>i</w:t>
      </w:r>
      <w:r w:rsidRPr="003E6562">
        <w:rPr>
          <w:rFonts w:asciiTheme="majorBidi" w:hAnsiTheme="majorBidi" w:cstheme="majorBidi"/>
          <w:b/>
          <w:sz w:val="24"/>
          <w:szCs w:val="24"/>
        </w:rPr>
        <w:t xml:space="preserve">, H A </w:t>
      </w:r>
      <w:proofErr w:type="spellStart"/>
      <w:r w:rsidRPr="003E6562">
        <w:rPr>
          <w:rFonts w:asciiTheme="majorBidi" w:hAnsiTheme="majorBidi" w:cstheme="majorBidi"/>
          <w:b/>
          <w:sz w:val="24"/>
          <w:szCs w:val="24"/>
        </w:rPr>
        <w:t>Jahun</w:t>
      </w:r>
      <w:proofErr w:type="spellEnd"/>
      <w:r w:rsidRPr="003E6562">
        <w:rPr>
          <w:rFonts w:asciiTheme="majorBidi" w:hAnsiTheme="majorBidi" w:cstheme="majorBidi"/>
          <w:b/>
          <w:sz w:val="24"/>
          <w:szCs w:val="24"/>
        </w:rPr>
        <w:t xml:space="preserve">, L. Muhammad, </w:t>
      </w:r>
      <w:r w:rsidRPr="00A90DAA">
        <w:rPr>
          <w:rFonts w:asciiTheme="majorBidi" w:hAnsiTheme="majorBidi" w:cstheme="majorBidi"/>
          <w:b/>
          <w:sz w:val="24"/>
          <w:szCs w:val="24"/>
        </w:rPr>
        <w:t>and</w:t>
      </w:r>
      <w:r>
        <w:rPr>
          <w:rFonts w:asciiTheme="majorBidi" w:hAnsiTheme="majorBidi" w:cstheme="majorBidi"/>
          <w:b/>
          <w:sz w:val="24"/>
          <w:szCs w:val="24"/>
        </w:rPr>
        <w:t xml:space="preserve"> </w:t>
      </w:r>
      <w:r w:rsidRPr="003E6562">
        <w:rPr>
          <w:rFonts w:asciiTheme="majorBidi" w:hAnsiTheme="majorBidi" w:cstheme="majorBidi"/>
          <w:b/>
          <w:sz w:val="24"/>
          <w:szCs w:val="24"/>
        </w:rPr>
        <w:t>S. Ashiru</w:t>
      </w:r>
    </w:p>
    <w:p w:rsidR="00BD45B9" w:rsidRPr="003E6562" w:rsidRDefault="00BD45B9" w:rsidP="00BD45B9">
      <w:pPr>
        <w:spacing w:after="0" w:line="240" w:lineRule="auto"/>
        <w:jc w:val="center"/>
        <w:rPr>
          <w:rFonts w:asciiTheme="majorBidi" w:hAnsiTheme="majorBidi" w:cstheme="majorBidi"/>
          <w:b/>
          <w:sz w:val="24"/>
          <w:szCs w:val="24"/>
        </w:rPr>
      </w:pPr>
      <w:r w:rsidRPr="00A90DAA">
        <w:rPr>
          <w:rFonts w:asciiTheme="majorBidi" w:hAnsiTheme="majorBidi" w:cstheme="majorBidi"/>
          <w:b/>
          <w:sz w:val="24"/>
          <w:szCs w:val="24"/>
        </w:rPr>
        <w:t>School of Agriculture</w:t>
      </w:r>
      <w:r>
        <w:rPr>
          <w:rFonts w:asciiTheme="majorBidi" w:hAnsiTheme="majorBidi" w:cstheme="majorBidi"/>
          <w:b/>
          <w:sz w:val="24"/>
          <w:szCs w:val="24"/>
        </w:rPr>
        <w:t>,</w:t>
      </w:r>
      <w:r w:rsidRPr="003E6562">
        <w:rPr>
          <w:rFonts w:asciiTheme="majorBidi" w:hAnsiTheme="majorBidi" w:cstheme="majorBidi"/>
          <w:b/>
          <w:sz w:val="24"/>
          <w:szCs w:val="24"/>
        </w:rPr>
        <w:t xml:space="preserve"> Binyaminu Usman Polytechnic, Hadejia Jigawa State</w:t>
      </w:r>
      <w:r>
        <w:rPr>
          <w:rFonts w:asciiTheme="majorBidi" w:hAnsiTheme="majorBidi" w:cstheme="majorBidi"/>
          <w:b/>
          <w:sz w:val="24"/>
          <w:szCs w:val="24"/>
        </w:rPr>
        <w:t xml:space="preserve"> Nigeria</w:t>
      </w:r>
    </w:p>
    <w:p w:rsidR="00BD45B9" w:rsidRDefault="00BD45B9" w:rsidP="00BD45B9">
      <w:pPr>
        <w:spacing w:after="0" w:line="240" w:lineRule="auto"/>
        <w:jc w:val="center"/>
        <w:rPr>
          <w:rFonts w:asciiTheme="majorBidi" w:hAnsiTheme="majorBidi" w:cstheme="majorBidi"/>
          <w:b/>
          <w:color w:val="0000CC"/>
          <w:sz w:val="24"/>
          <w:szCs w:val="24"/>
        </w:rPr>
      </w:pPr>
      <w:r w:rsidRPr="003E6562">
        <w:rPr>
          <w:rFonts w:asciiTheme="majorBidi" w:hAnsiTheme="majorBidi" w:cstheme="majorBidi"/>
          <w:b/>
          <w:sz w:val="24"/>
          <w:szCs w:val="24"/>
        </w:rPr>
        <w:t xml:space="preserve">*Correspondence author e-mail </w:t>
      </w:r>
      <w:hyperlink r:id="rId4" w:history="1">
        <w:r w:rsidRPr="003E6562">
          <w:rPr>
            <w:rStyle w:val="Hyperlink"/>
            <w:rFonts w:asciiTheme="majorBidi" w:hAnsiTheme="majorBidi" w:cstheme="majorBidi"/>
            <w:b/>
            <w:sz w:val="24"/>
            <w:szCs w:val="24"/>
          </w:rPr>
          <w:t>smshehu48@gmail.com</w:t>
        </w:r>
      </w:hyperlink>
      <w:r w:rsidRPr="003E6562">
        <w:rPr>
          <w:rFonts w:asciiTheme="majorBidi" w:hAnsiTheme="majorBidi" w:cstheme="majorBidi"/>
          <w:b/>
          <w:sz w:val="24"/>
          <w:szCs w:val="24"/>
        </w:rPr>
        <w:t xml:space="preserve"> phone: </w:t>
      </w:r>
      <w:r>
        <w:rPr>
          <w:rFonts w:asciiTheme="majorBidi" w:hAnsiTheme="majorBidi" w:cstheme="majorBidi"/>
          <w:b/>
          <w:sz w:val="24"/>
          <w:szCs w:val="24"/>
        </w:rPr>
        <w:t>+234</w:t>
      </w:r>
      <w:r w:rsidRPr="003E6562">
        <w:rPr>
          <w:rFonts w:asciiTheme="majorBidi" w:hAnsiTheme="majorBidi" w:cstheme="majorBidi"/>
          <w:b/>
          <w:color w:val="0000CC"/>
          <w:sz w:val="24"/>
          <w:szCs w:val="24"/>
        </w:rPr>
        <w:t>8032213827</w:t>
      </w:r>
    </w:p>
    <w:p w:rsidR="00BD45B9" w:rsidRPr="003E6562" w:rsidRDefault="00BD45B9" w:rsidP="00BD45B9">
      <w:pPr>
        <w:spacing w:after="0" w:line="240" w:lineRule="auto"/>
        <w:jc w:val="center"/>
        <w:rPr>
          <w:rFonts w:asciiTheme="majorBidi" w:hAnsiTheme="majorBidi" w:cstheme="majorBidi"/>
          <w:b/>
          <w:sz w:val="24"/>
          <w:szCs w:val="24"/>
        </w:rPr>
      </w:pPr>
      <w:r w:rsidRPr="003E6562">
        <w:rPr>
          <w:rFonts w:asciiTheme="majorBidi" w:hAnsiTheme="majorBidi" w:cstheme="majorBidi"/>
          <w:b/>
          <w:sz w:val="24"/>
          <w:szCs w:val="24"/>
        </w:rPr>
        <w:t xml:space="preserve"> </w:t>
      </w:r>
    </w:p>
    <w:p w:rsidR="00BD45B9" w:rsidRPr="003E6562" w:rsidRDefault="00BD45B9" w:rsidP="00BD45B9">
      <w:pPr>
        <w:tabs>
          <w:tab w:val="left" w:pos="810"/>
        </w:tabs>
        <w:spacing w:after="0" w:line="240" w:lineRule="auto"/>
        <w:rPr>
          <w:rFonts w:asciiTheme="majorBidi" w:hAnsiTheme="majorBidi" w:cstheme="majorBidi"/>
          <w:b/>
          <w:sz w:val="24"/>
          <w:szCs w:val="24"/>
        </w:rPr>
      </w:pPr>
      <w:r w:rsidRPr="003E6562">
        <w:rPr>
          <w:rFonts w:asciiTheme="majorBidi" w:hAnsiTheme="majorBidi" w:cstheme="majorBidi"/>
          <w:b/>
          <w:sz w:val="24"/>
          <w:szCs w:val="24"/>
        </w:rPr>
        <w:t>ABSTRACT</w:t>
      </w:r>
    </w:p>
    <w:p w:rsidR="00BD45B9" w:rsidRPr="003E6562" w:rsidRDefault="00BD45B9" w:rsidP="00BD45B9">
      <w:pPr>
        <w:tabs>
          <w:tab w:val="left" w:pos="810"/>
        </w:tabs>
        <w:spacing w:after="0" w:line="240" w:lineRule="auto"/>
        <w:jc w:val="both"/>
        <w:rPr>
          <w:rFonts w:asciiTheme="majorBidi" w:hAnsiTheme="majorBidi" w:cstheme="majorBidi"/>
          <w:b/>
          <w:sz w:val="24"/>
          <w:szCs w:val="24"/>
        </w:rPr>
      </w:pPr>
      <w:r w:rsidRPr="003E6562">
        <w:rPr>
          <w:rFonts w:asciiTheme="majorBidi" w:hAnsiTheme="majorBidi" w:cstheme="majorBidi"/>
          <w:sz w:val="24"/>
          <w:szCs w:val="24"/>
        </w:rPr>
        <w:t xml:space="preserve">The research was conducted </w:t>
      </w:r>
      <w:r>
        <w:rPr>
          <w:rFonts w:asciiTheme="majorBidi" w:hAnsiTheme="majorBidi" w:cstheme="majorBidi"/>
          <w:sz w:val="24"/>
          <w:szCs w:val="24"/>
        </w:rPr>
        <w:t xml:space="preserve">in 2015 and 2016 </w:t>
      </w:r>
      <w:r w:rsidRPr="003E6562">
        <w:rPr>
          <w:rFonts w:asciiTheme="majorBidi" w:hAnsiTheme="majorBidi" w:cstheme="majorBidi"/>
          <w:sz w:val="24"/>
          <w:szCs w:val="24"/>
        </w:rPr>
        <w:t xml:space="preserve">at the </w:t>
      </w:r>
      <w:r>
        <w:rPr>
          <w:rFonts w:asciiTheme="majorBidi" w:hAnsiTheme="majorBidi" w:cstheme="majorBidi"/>
          <w:sz w:val="24"/>
          <w:szCs w:val="24"/>
        </w:rPr>
        <w:t xml:space="preserve">School </w:t>
      </w:r>
      <w:r w:rsidRPr="003E6562">
        <w:rPr>
          <w:rFonts w:asciiTheme="majorBidi" w:hAnsiTheme="majorBidi" w:cstheme="majorBidi"/>
          <w:sz w:val="24"/>
          <w:szCs w:val="24"/>
        </w:rPr>
        <w:t>of Agriculture Research Farm Hadejia, (Latitude of 12</w:t>
      </w:r>
      <w:r w:rsidRPr="003E6562">
        <w:rPr>
          <w:rFonts w:asciiTheme="majorBidi" w:hAnsiTheme="majorBidi" w:cstheme="majorBidi"/>
          <w:sz w:val="24"/>
          <w:szCs w:val="24"/>
          <w:vertAlign w:val="superscript"/>
        </w:rPr>
        <w:t>0</w:t>
      </w:r>
      <w:r w:rsidRPr="003E6562">
        <w:rPr>
          <w:rFonts w:asciiTheme="majorBidi" w:hAnsiTheme="majorBidi" w:cstheme="majorBidi"/>
          <w:sz w:val="24"/>
          <w:szCs w:val="24"/>
        </w:rPr>
        <w:t xml:space="preserve"> 22′N and 12</w:t>
      </w:r>
      <w:r w:rsidRPr="003E6562">
        <w:rPr>
          <w:rFonts w:asciiTheme="majorBidi" w:hAnsiTheme="majorBidi" w:cstheme="majorBidi"/>
          <w:sz w:val="24"/>
          <w:szCs w:val="24"/>
          <w:vertAlign w:val="superscript"/>
        </w:rPr>
        <w:t>0</w:t>
      </w:r>
      <w:r w:rsidRPr="003E6562">
        <w:rPr>
          <w:rFonts w:asciiTheme="majorBidi" w:hAnsiTheme="majorBidi" w:cstheme="majorBidi"/>
          <w:sz w:val="24"/>
          <w:szCs w:val="24"/>
        </w:rPr>
        <w:t xml:space="preserve"> 24′ N and longitude of 7</w:t>
      </w:r>
      <w:r w:rsidRPr="003E6562">
        <w:rPr>
          <w:rFonts w:asciiTheme="majorBidi" w:hAnsiTheme="majorBidi" w:cstheme="majorBidi"/>
          <w:sz w:val="24"/>
          <w:szCs w:val="24"/>
          <w:vertAlign w:val="superscript"/>
        </w:rPr>
        <w:t>0</w:t>
      </w:r>
      <w:r w:rsidRPr="003E6562">
        <w:rPr>
          <w:rFonts w:asciiTheme="majorBidi" w:hAnsiTheme="majorBidi" w:cstheme="majorBidi"/>
          <w:sz w:val="24"/>
          <w:szCs w:val="24"/>
        </w:rPr>
        <w:t xml:space="preserve"> 46′ E and 10</w:t>
      </w:r>
      <w:r w:rsidRPr="003E6562">
        <w:rPr>
          <w:rFonts w:asciiTheme="majorBidi" w:hAnsiTheme="majorBidi" w:cstheme="majorBidi"/>
          <w:sz w:val="24"/>
          <w:szCs w:val="24"/>
          <w:vertAlign w:val="superscript"/>
        </w:rPr>
        <w:t>0</w:t>
      </w:r>
      <w:r w:rsidRPr="003E6562">
        <w:rPr>
          <w:rFonts w:asciiTheme="majorBidi" w:hAnsiTheme="majorBidi" w:cstheme="majorBidi"/>
          <w:sz w:val="24"/>
          <w:szCs w:val="24"/>
        </w:rPr>
        <w:t xml:space="preserve"> E) and Jigawa State Research Institute Farm Kazaure (latitude of 12</w:t>
      </w:r>
      <w:r w:rsidRPr="003E6562">
        <w:rPr>
          <w:rFonts w:asciiTheme="majorBidi" w:hAnsiTheme="majorBidi" w:cstheme="majorBidi"/>
          <w:sz w:val="24"/>
          <w:szCs w:val="24"/>
          <w:vertAlign w:val="superscript"/>
        </w:rPr>
        <w:t>o</w:t>
      </w:r>
      <w:r w:rsidRPr="003E6562">
        <w:rPr>
          <w:rFonts w:asciiTheme="majorBidi" w:hAnsiTheme="majorBidi" w:cstheme="majorBidi"/>
          <w:sz w:val="24"/>
          <w:szCs w:val="24"/>
        </w:rPr>
        <w:t xml:space="preserve"> 28’ and 12</w:t>
      </w:r>
      <w:r w:rsidRPr="003E6562">
        <w:rPr>
          <w:rFonts w:asciiTheme="majorBidi" w:hAnsiTheme="majorBidi" w:cstheme="majorBidi"/>
          <w:sz w:val="24"/>
          <w:szCs w:val="24"/>
          <w:vertAlign w:val="superscript"/>
        </w:rPr>
        <w:t>o</w:t>
      </w:r>
      <w:r w:rsidRPr="003E6562">
        <w:rPr>
          <w:rFonts w:asciiTheme="majorBidi" w:hAnsiTheme="majorBidi" w:cstheme="majorBidi"/>
          <w:sz w:val="24"/>
          <w:szCs w:val="24"/>
        </w:rPr>
        <w:t xml:space="preserve"> 32’ and longitude of 8</w:t>
      </w:r>
      <w:r w:rsidRPr="003E6562">
        <w:rPr>
          <w:rFonts w:asciiTheme="majorBidi" w:hAnsiTheme="majorBidi" w:cstheme="majorBidi"/>
          <w:sz w:val="24"/>
          <w:szCs w:val="24"/>
          <w:vertAlign w:val="superscript"/>
        </w:rPr>
        <w:t>o</w:t>
      </w:r>
      <w:r w:rsidRPr="003E6562">
        <w:rPr>
          <w:rFonts w:asciiTheme="majorBidi" w:hAnsiTheme="majorBidi" w:cstheme="majorBidi"/>
          <w:sz w:val="24"/>
          <w:szCs w:val="24"/>
        </w:rPr>
        <w:t xml:space="preserve"> 10’ and 8</w:t>
      </w:r>
      <w:r w:rsidRPr="003E6562">
        <w:rPr>
          <w:rFonts w:asciiTheme="majorBidi" w:hAnsiTheme="majorBidi" w:cstheme="majorBidi"/>
          <w:sz w:val="24"/>
          <w:szCs w:val="24"/>
          <w:vertAlign w:val="superscript"/>
        </w:rPr>
        <w:t>o</w:t>
      </w:r>
      <w:r w:rsidRPr="003E6562">
        <w:rPr>
          <w:rFonts w:asciiTheme="majorBidi" w:hAnsiTheme="majorBidi" w:cstheme="majorBidi"/>
          <w:sz w:val="24"/>
          <w:szCs w:val="24"/>
        </w:rPr>
        <w:t xml:space="preserve"> 38’ E), in the Sudan savannah ecological zone of Nigeria. The aim was to study the effects of Inoculation and phosphorus fertilization on growth and yield of three chickpea (</w:t>
      </w:r>
      <w:r w:rsidRPr="003E6562">
        <w:rPr>
          <w:rFonts w:asciiTheme="majorBidi" w:hAnsiTheme="majorBidi" w:cstheme="majorBidi"/>
          <w:i/>
          <w:iCs/>
          <w:sz w:val="24"/>
          <w:szCs w:val="24"/>
        </w:rPr>
        <w:t>Cicer arietinum</w:t>
      </w:r>
      <w:r w:rsidRPr="003E6562">
        <w:rPr>
          <w:rFonts w:asciiTheme="majorBidi" w:hAnsiTheme="majorBidi" w:cstheme="majorBidi"/>
          <w:sz w:val="24"/>
          <w:szCs w:val="24"/>
        </w:rPr>
        <w:t xml:space="preserve"> L.) varieties. The treatments consisted of combinations of three chickpea varieties (ICCV 97105, ICCV 93954 and ICCV 95423), two inoculation levels (Inoculated and Un-inoculated) and four levels of phosphorus (P</w:t>
      </w:r>
      <w:r w:rsidRPr="003E6562">
        <w:rPr>
          <w:rFonts w:asciiTheme="majorBidi" w:hAnsiTheme="majorBidi" w:cstheme="majorBidi"/>
          <w:sz w:val="24"/>
          <w:szCs w:val="24"/>
          <w:vertAlign w:val="subscript"/>
        </w:rPr>
        <w:t>2</w:t>
      </w:r>
      <w:r w:rsidRPr="003E6562">
        <w:rPr>
          <w:rFonts w:asciiTheme="majorBidi" w:hAnsiTheme="majorBidi" w:cstheme="majorBidi"/>
          <w:sz w:val="24"/>
          <w:szCs w:val="24"/>
        </w:rPr>
        <w:t>O</w:t>
      </w:r>
      <w:r w:rsidRPr="003E6562">
        <w:rPr>
          <w:rFonts w:asciiTheme="majorBidi" w:hAnsiTheme="majorBidi" w:cstheme="majorBidi"/>
          <w:sz w:val="24"/>
          <w:szCs w:val="24"/>
          <w:vertAlign w:val="subscript"/>
        </w:rPr>
        <w:t>5</w:t>
      </w:r>
      <w:r w:rsidRPr="003E6562">
        <w:rPr>
          <w:rFonts w:asciiTheme="majorBidi" w:hAnsiTheme="majorBidi" w:cstheme="majorBidi"/>
          <w:sz w:val="24"/>
          <w:szCs w:val="24"/>
        </w:rPr>
        <w:t xml:space="preserve">) (0, 20, 40 and 60kg/ha). The treatments were factorially combined and arranged in a split plot design; Varieties and inoculation were assigned to the main plots while levels of phosphorus were placed in the subplots with three replications. Based on the results of this study, chickpea variety ICCV 93954 outperformed other varieties ICCV 97105 and ICCV 95423 in terms of growth and yield characters all through. Inoculation with </w:t>
      </w:r>
      <w:r w:rsidRPr="003E6562">
        <w:rPr>
          <w:rFonts w:asciiTheme="majorBidi" w:hAnsiTheme="majorBidi" w:cstheme="majorBidi"/>
          <w:i/>
          <w:iCs/>
          <w:sz w:val="24"/>
          <w:szCs w:val="24"/>
        </w:rPr>
        <w:t>Rhizobium loti</w:t>
      </w:r>
      <w:r w:rsidRPr="003E6562">
        <w:rPr>
          <w:rFonts w:asciiTheme="majorBidi" w:hAnsiTheme="majorBidi" w:cstheme="majorBidi"/>
          <w:sz w:val="24"/>
          <w:szCs w:val="24"/>
        </w:rPr>
        <w:t xml:space="preserve"> was beneficent to chickpea growth and yield while phosphorus application at 40kg P</w:t>
      </w:r>
      <w:r w:rsidRPr="003E6562">
        <w:rPr>
          <w:rFonts w:asciiTheme="majorBidi" w:hAnsiTheme="majorBidi" w:cstheme="majorBidi"/>
          <w:sz w:val="24"/>
          <w:szCs w:val="24"/>
          <w:vertAlign w:val="subscript"/>
        </w:rPr>
        <w:t>2</w:t>
      </w:r>
      <w:r w:rsidRPr="003E6562">
        <w:rPr>
          <w:rFonts w:asciiTheme="majorBidi" w:hAnsiTheme="majorBidi" w:cstheme="majorBidi"/>
          <w:sz w:val="24"/>
          <w:szCs w:val="24"/>
        </w:rPr>
        <w:t>O</w:t>
      </w:r>
      <w:r w:rsidRPr="003E6562">
        <w:rPr>
          <w:rFonts w:asciiTheme="majorBidi" w:hAnsiTheme="majorBidi" w:cstheme="majorBidi"/>
          <w:sz w:val="24"/>
          <w:szCs w:val="24"/>
          <w:vertAlign w:val="subscript"/>
        </w:rPr>
        <w:t>5</w:t>
      </w:r>
      <w:r w:rsidRPr="003E6562">
        <w:rPr>
          <w:rFonts w:asciiTheme="majorBidi" w:hAnsiTheme="majorBidi" w:cstheme="majorBidi"/>
          <w:sz w:val="24"/>
          <w:szCs w:val="24"/>
        </w:rPr>
        <w:t xml:space="preserve"> ha</w:t>
      </w:r>
      <w:r w:rsidRPr="003E6562">
        <w:rPr>
          <w:rFonts w:asciiTheme="majorBidi" w:hAnsiTheme="majorBidi" w:cstheme="majorBidi"/>
          <w:sz w:val="24"/>
          <w:szCs w:val="24"/>
          <w:vertAlign w:val="superscript"/>
        </w:rPr>
        <w:t>-1</w:t>
      </w:r>
      <w:r w:rsidRPr="003E6562">
        <w:rPr>
          <w:rFonts w:asciiTheme="majorBidi" w:hAnsiTheme="majorBidi" w:cstheme="majorBidi"/>
          <w:sz w:val="24"/>
          <w:szCs w:val="24"/>
        </w:rPr>
        <w:t xml:space="preserve"> seems to be optimum for chickpea growth at both Hadejia and Kazaure. Chickpea variety ICCV 93954 was superior to ICCV 95423 and ICCV 97105 because it responds more to inoculation and phosphorus application and therefore yielded higher than other two varieties. Chickpea seed inoculated with </w:t>
      </w:r>
      <w:r w:rsidRPr="003E6562">
        <w:rPr>
          <w:rFonts w:asciiTheme="majorBidi" w:hAnsiTheme="majorBidi" w:cstheme="majorBidi"/>
          <w:i/>
          <w:iCs/>
          <w:sz w:val="24"/>
          <w:szCs w:val="24"/>
        </w:rPr>
        <w:t>Rhizobium</w:t>
      </w:r>
      <w:r w:rsidRPr="003E6562">
        <w:rPr>
          <w:rFonts w:asciiTheme="majorBidi" w:hAnsiTheme="majorBidi" w:cstheme="majorBidi"/>
          <w:sz w:val="24"/>
          <w:szCs w:val="24"/>
        </w:rPr>
        <w:t xml:space="preserve"> resulted in increased number of nodules per plant as compared to un-inoculated (control). The increase in number of nodules per plant due to seed inoculation increased the yield significantly. Phosphorus fertilization at the rate of 40kg P</w:t>
      </w:r>
      <w:r w:rsidRPr="003E6562">
        <w:rPr>
          <w:rFonts w:asciiTheme="majorBidi" w:hAnsiTheme="majorBidi" w:cstheme="majorBidi"/>
          <w:sz w:val="24"/>
          <w:szCs w:val="24"/>
          <w:vertAlign w:val="subscript"/>
        </w:rPr>
        <w:t>2</w:t>
      </w:r>
      <w:r w:rsidRPr="003E6562">
        <w:rPr>
          <w:rFonts w:asciiTheme="majorBidi" w:hAnsiTheme="majorBidi" w:cstheme="majorBidi"/>
          <w:sz w:val="24"/>
          <w:szCs w:val="24"/>
        </w:rPr>
        <w:t>O</w:t>
      </w:r>
      <w:r w:rsidRPr="003E6562">
        <w:rPr>
          <w:rFonts w:asciiTheme="majorBidi" w:hAnsiTheme="majorBidi" w:cstheme="majorBidi"/>
          <w:sz w:val="24"/>
          <w:szCs w:val="24"/>
          <w:vertAlign w:val="subscript"/>
        </w:rPr>
        <w:t>5</w:t>
      </w:r>
      <w:r w:rsidRPr="003E6562">
        <w:rPr>
          <w:rFonts w:asciiTheme="majorBidi" w:hAnsiTheme="majorBidi" w:cstheme="majorBidi"/>
          <w:sz w:val="24"/>
          <w:szCs w:val="24"/>
        </w:rPr>
        <w:t xml:space="preserve"> ha</w:t>
      </w:r>
      <w:r w:rsidRPr="003E6562">
        <w:rPr>
          <w:rFonts w:asciiTheme="majorBidi" w:hAnsiTheme="majorBidi" w:cstheme="majorBidi"/>
          <w:sz w:val="24"/>
          <w:szCs w:val="24"/>
          <w:vertAlign w:val="superscript"/>
        </w:rPr>
        <w:t>-1</w:t>
      </w:r>
      <w:r w:rsidRPr="003E6562">
        <w:rPr>
          <w:rFonts w:asciiTheme="majorBidi" w:hAnsiTheme="majorBidi" w:cstheme="majorBidi"/>
          <w:sz w:val="24"/>
          <w:szCs w:val="24"/>
        </w:rPr>
        <w:t xml:space="preserve"> was found to be significantly superior for the crop’s growth and yield.  </w:t>
      </w:r>
    </w:p>
    <w:p w:rsidR="006727F8" w:rsidRDefault="00BD45B9" w:rsidP="00BD45B9">
      <w:r w:rsidRPr="00CE0473">
        <w:rPr>
          <w:rFonts w:ascii="Times New Roman" w:hAnsi="Times New Roman"/>
          <w:b/>
          <w:sz w:val="24"/>
          <w:szCs w:val="24"/>
        </w:rPr>
        <w:t xml:space="preserve">Key words: </w:t>
      </w:r>
      <w:r w:rsidRPr="00CE0473">
        <w:rPr>
          <w:rFonts w:ascii="Times New Roman" w:eastAsia="Times New Roman" w:hAnsi="Times New Roman"/>
          <w:b/>
          <w:sz w:val="24"/>
          <w:szCs w:val="24"/>
        </w:rPr>
        <w:t>Chickpea Varieties Growth</w:t>
      </w:r>
      <w:r w:rsidRPr="00CE0473">
        <w:rPr>
          <w:rFonts w:ascii="Times New Roman" w:eastAsia="Times New Roman" w:hAnsi="Times New Roman"/>
          <w:b/>
          <w:iCs/>
          <w:sz w:val="24"/>
          <w:szCs w:val="24"/>
        </w:rPr>
        <w:t xml:space="preserve"> Yield I</w:t>
      </w:r>
      <w:r w:rsidRPr="00CE0473">
        <w:rPr>
          <w:rFonts w:ascii="Times New Roman" w:eastAsia="Times New Roman" w:hAnsi="Times New Roman"/>
          <w:b/>
          <w:sz w:val="24"/>
          <w:szCs w:val="24"/>
        </w:rPr>
        <w:t>noculation and Phosphorous</w:t>
      </w:r>
    </w:p>
    <w:sectPr w:rsidR="006727F8" w:rsidSect="006727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BD45B9"/>
    <w:rsid w:val="002A60E1"/>
    <w:rsid w:val="006727F8"/>
    <w:rsid w:val="00774F5F"/>
    <w:rsid w:val="008D646B"/>
    <w:rsid w:val="00B918CE"/>
    <w:rsid w:val="00BD45B9"/>
    <w:rsid w:val="00DA2F64"/>
    <w:rsid w:val="00ED1CA2"/>
    <w:rsid w:val="00F238F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5B9"/>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45B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mshehu4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344</Words>
  <Characters>1963</Characters>
  <Application>Microsoft Office Word</Application>
  <DocSecurity>0</DocSecurity>
  <Lines>16</Lines>
  <Paragraphs>4</Paragraphs>
  <ScaleCrop>false</ScaleCrop>
  <Company>Hewlett-Packard</Company>
  <LinksUpToDate>false</LinksUpToDate>
  <CharactersWithSpaces>2303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coa</dc:creator>
  <cp:lastModifiedBy>coa</cp:lastModifiedBy>
  <cp:revision>1</cp:revision>
  <dcterms:created xsi:type="dcterms:W3CDTF">2020-02-03T14:27:00Z</dcterms:created>
  <dcterms:modified xsi:type="dcterms:W3CDTF">2020-02-03T14:32:00Z</dcterms:modified>
</cp:coreProperties>
</file>