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6330" w14:textId="5B502A83" w:rsidR="00AE3E37" w:rsidRPr="009A6D3E" w:rsidRDefault="009A6D3E" w:rsidP="009A6D3E">
      <w:pPr>
        <w:spacing w:after="240"/>
        <w:jc w:val="center"/>
        <w:rPr>
          <w:b/>
          <w:caps/>
          <w:sz w:val="24"/>
        </w:rPr>
      </w:pPr>
      <w:r>
        <w:rPr>
          <w:b/>
          <w:caps/>
          <w:sz w:val="24"/>
        </w:rPr>
        <w:t>QUANTITATIVE investigation of</w:t>
      </w:r>
      <w:r w:rsidRPr="00BA3141">
        <w:rPr>
          <w:rFonts w:hint="eastAsia"/>
          <w:b/>
          <w:caps/>
          <w:sz w:val="24"/>
        </w:rPr>
        <w:t xml:space="preserve"> the </w:t>
      </w:r>
      <w:r w:rsidRPr="00BA3141">
        <w:rPr>
          <w:b/>
          <w:caps/>
          <w:sz w:val="24"/>
        </w:rPr>
        <w:t xml:space="preserve">Catalytic </w:t>
      </w:r>
      <w:r w:rsidRPr="00BA3141">
        <w:rPr>
          <w:rFonts w:hint="eastAsia"/>
          <w:b/>
          <w:caps/>
          <w:sz w:val="24"/>
        </w:rPr>
        <w:t>A</w:t>
      </w:r>
      <w:r w:rsidRPr="00BA3141">
        <w:rPr>
          <w:b/>
          <w:caps/>
          <w:sz w:val="24"/>
        </w:rPr>
        <w:t>ctivities of</w:t>
      </w:r>
      <w:r w:rsidRPr="00BA3141">
        <w:rPr>
          <w:rFonts w:hint="eastAsia"/>
          <w:b/>
          <w:caps/>
          <w:sz w:val="24"/>
        </w:rPr>
        <w:t xml:space="preserve"> Analogues</w:t>
      </w:r>
      <w:r w:rsidRPr="00BA3141">
        <w:rPr>
          <w:b/>
          <w:caps/>
          <w:sz w:val="24"/>
        </w:rPr>
        <w:t xml:space="preserve"> </w:t>
      </w:r>
      <w:r w:rsidRPr="00BA3141">
        <w:rPr>
          <w:rFonts w:hint="eastAsia"/>
          <w:b/>
          <w:caps/>
          <w:sz w:val="24"/>
        </w:rPr>
        <w:t>Nickel</w:t>
      </w:r>
      <w:r w:rsidRPr="00BA3141">
        <w:rPr>
          <w:b/>
          <w:caps/>
          <w:sz w:val="24"/>
        </w:rPr>
        <w:t xml:space="preserve"> </w:t>
      </w:r>
      <w:r w:rsidRPr="00BA3141">
        <w:rPr>
          <w:rFonts w:hint="eastAsia"/>
          <w:b/>
          <w:caps/>
          <w:sz w:val="24"/>
        </w:rPr>
        <w:t>Complexes in</w:t>
      </w:r>
      <w:r w:rsidRPr="00BA3141">
        <w:rPr>
          <w:b/>
          <w:caps/>
          <w:sz w:val="24"/>
        </w:rPr>
        <w:t xml:space="preserve"> Ethylene </w:t>
      </w:r>
      <w:r>
        <w:rPr>
          <w:b/>
          <w:caps/>
          <w:sz w:val="24"/>
        </w:rPr>
        <w:t>OLIGO-/</w:t>
      </w:r>
      <w:r w:rsidRPr="00BA3141">
        <w:rPr>
          <w:b/>
          <w:caps/>
          <w:sz w:val="24"/>
        </w:rPr>
        <w:t>Polymerization</w:t>
      </w:r>
    </w:p>
    <w:p w14:paraId="6A965CED" w14:textId="29796BEC" w:rsidR="009A6D3E" w:rsidRPr="009A6D3E" w:rsidRDefault="009A6D3E" w:rsidP="009A6D3E">
      <w:pPr>
        <w:pStyle w:val="BodyText"/>
        <w:spacing w:before="73" w:line="198" w:lineRule="exact"/>
        <w:ind w:right="5650"/>
        <w:rPr>
          <w:rFonts w:ascii="Arial"/>
          <w:vertAlign w:val="superscript"/>
          <w:lang w:val="en-GB"/>
        </w:rPr>
      </w:pPr>
      <w:proofErr w:type="spellStart"/>
      <w:r w:rsidRPr="009A6D3E">
        <w:rPr>
          <w:rFonts w:ascii="Arial" w:hint="eastAsia"/>
          <w:u w:val="single"/>
          <w:lang w:val="en-GB"/>
        </w:rPr>
        <w:t>Arfa</w:t>
      </w:r>
      <w:proofErr w:type="spellEnd"/>
      <w:r w:rsidRPr="009A6D3E">
        <w:rPr>
          <w:rFonts w:ascii="Arial" w:hint="eastAsia"/>
          <w:u w:val="single"/>
          <w:lang w:val="en-GB"/>
        </w:rPr>
        <w:t xml:space="preserve"> Abrar Malik,</w:t>
      </w:r>
      <w:r w:rsidRPr="009A6D3E">
        <w:rPr>
          <w:rFonts w:ascii="Arial"/>
          <w:u w:val="single"/>
          <w:vertAlign w:val="superscript"/>
          <w:lang w:val="en-GB"/>
        </w:rPr>
        <w:t xml:space="preserve"> 1</w:t>
      </w:r>
      <w:r w:rsidRPr="009A6D3E">
        <w:rPr>
          <w:rFonts w:ascii="Arial" w:hint="eastAsia"/>
          <w:u w:val="single"/>
          <w:vertAlign w:val="superscript"/>
          <w:lang w:val="en-GB"/>
        </w:rPr>
        <w:t xml:space="preserve">,2 </w:t>
      </w:r>
      <w:proofErr w:type="spellStart"/>
      <w:r w:rsidRPr="009A6D3E">
        <w:rPr>
          <w:rFonts w:ascii="Arial"/>
          <w:lang w:val="en-GB"/>
        </w:rPr>
        <w:t>Wenhong</w:t>
      </w:r>
      <w:proofErr w:type="spellEnd"/>
      <w:r w:rsidRPr="009A6D3E">
        <w:rPr>
          <w:rFonts w:ascii="Arial"/>
          <w:lang w:val="en-GB"/>
        </w:rPr>
        <w:t xml:space="preserve"> Yang,</w:t>
      </w:r>
      <w:r w:rsidRPr="009A6D3E">
        <w:rPr>
          <w:rFonts w:ascii="Arial"/>
          <w:vertAlign w:val="superscript"/>
          <w:lang w:val="en-GB"/>
        </w:rPr>
        <w:t>1,</w:t>
      </w:r>
      <w:r w:rsidRPr="009A6D3E">
        <w:rPr>
          <w:rFonts w:ascii="Arial" w:hint="eastAsia"/>
          <w:vertAlign w:val="superscript"/>
          <w:lang w:val="en-GB"/>
        </w:rPr>
        <w:t>2</w:t>
      </w:r>
      <w:r w:rsidRPr="009A6D3E">
        <w:rPr>
          <w:rFonts w:ascii="Arial"/>
          <w:lang w:val="en-GB"/>
        </w:rPr>
        <w:t>* and Wen-Hua Sun</w:t>
      </w:r>
      <w:r w:rsidRPr="009A6D3E">
        <w:rPr>
          <w:rFonts w:ascii="Arial"/>
          <w:vertAlign w:val="superscript"/>
          <w:lang w:val="en-GB"/>
        </w:rPr>
        <w:t>1,2</w:t>
      </w:r>
      <w:r w:rsidRPr="009A6D3E">
        <w:rPr>
          <w:rFonts w:ascii="Arial"/>
          <w:lang w:val="en-GB"/>
        </w:rPr>
        <w:t>*</w:t>
      </w:r>
    </w:p>
    <w:p w14:paraId="42C6C590" w14:textId="17ED265E" w:rsidR="009A6D3E" w:rsidRPr="009A6D3E" w:rsidRDefault="009A6D3E" w:rsidP="009A6D3E">
      <w:pPr>
        <w:pStyle w:val="BodyText"/>
        <w:spacing w:before="73" w:line="198" w:lineRule="exact"/>
        <w:ind w:right="5987"/>
        <w:rPr>
          <w:rFonts w:ascii="Arial"/>
        </w:rPr>
      </w:pPr>
      <w:r w:rsidRPr="009A6D3E">
        <w:rPr>
          <w:rFonts w:ascii="Arial"/>
        </w:rPr>
        <w:t xml:space="preserve">Key </w:t>
      </w:r>
      <w:r>
        <w:rPr>
          <w:rFonts w:ascii="Arial"/>
        </w:rPr>
        <w:t>Laboratory</w:t>
      </w:r>
      <w:r w:rsidRPr="009A6D3E">
        <w:rPr>
          <w:rFonts w:ascii="Arial"/>
        </w:rPr>
        <w:t xml:space="preserve"> of Engineering Plastics and Beijing National Laboratory for Molecular Science, Institute of Chemistry, Chinese Academy of Sciences, </w:t>
      </w:r>
      <w:r w:rsidRPr="009A6D3E">
        <w:rPr>
          <w:rFonts w:ascii="Arial" w:hint="eastAsia"/>
        </w:rPr>
        <w:t>No.2 North 1</w:t>
      </w:r>
      <w:r w:rsidRPr="009A6D3E">
        <w:rPr>
          <w:rFonts w:ascii="Arial"/>
          <w:vertAlign w:val="superscript"/>
        </w:rPr>
        <w:t>st</w:t>
      </w:r>
      <w:r w:rsidRPr="009A6D3E">
        <w:rPr>
          <w:rFonts w:ascii="Arial"/>
        </w:rPr>
        <w:t xml:space="preserve"> </w:t>
      </w:r>
      <w:r w:rsidRPr="009A6D3E">
        <w:rPr>
          <w:rFonts w:ascii="Arial" w:hint="eastAsia"/>
        </w:rPr>
        <w:t xml:space="preserve">Street, </w:t>
      </w:r>
      <w:bookmarkStart w:id="0" w:name="OLE_LINK32"/>
      <w:bookmarkStart w:id="1" w:name="OLE_LINK33"/>
      <w:proofErr w:type="spellStart"/>
      <w:r w:rsidRPr="009A6D3E">
        <w:rPr>
          <w:rFonts w:ascii="Arial" w:hint="eastAsia"/>
        </w:rPr>
        <w:t>Zhongguancun</w:t>
      </w:r>
      <w:bookmarkEnd w:id="0"/>
      <w:bookmarkEnd w:id="1"/>
      <w:proofErr w:type="spellEnd"/>
      <w:r w:rsidRPr="009A6D3E">
        <w:rPr>
          <w:rFonts w:ascii="Arial" w:hint="eastAsia"/>
        </w:rPr>
        <w:t xml:space="preserve">, </w:t>
      </w:r>
      <w:r w:rsidRPr="009A6D3E">
        <w:rPr>
          <w:rFonts w:ascii="Arial"/>
        </w:rPr>
        <w:t>Beijing 100190, China</w:t>
      </w:r>
    </w:p>
    <w:p w14:paraId="39F517B5" w14:textId="51E404A9" w:rsidR="005973B9" w:rsidRDefault="005973B9" w:rsidP="009A6D3E">
      <w:pPr>
        <w:pStyle w:val="BodyText"/>
        <w:spacing w:before="73" w:line="198" w:lineRule="exact"/>
        <w:ind w:right="5987"/>
        <w:rPr>
          <w:rFonts w:ascii="Arial"/>
        </w:rPr>
      </w:pPr>
    </w:p>
    <w:p w14:paraId="0A9B4A7B" w14:textId="77777777" w:rsidR="00AE3E37" w:rsidRDefault="00AE3E37">
      <w:pPr>
        <w:pStyle w:val="BodyText"/>
        <w:rPr>
          <w:rFonts w:ascii="Arial"/>
          <w:sz w:val="20"/>
        </w:rPr>
      </w:pPr>
    </w:p>
    <w:p w14:paraId="02850E5B"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458458FA" w14:textId="59B338AA" w:rsidR="00AE3E37" w:rsidRDefault="00A9710C">
      <w:pPr>
        <w:pStyle w:val="Heading3"/>
        <w:spacing w:before="147"/>
        <w:jc w:val="both"/>
      </w:pPr>
      <w:r>
        <w:rPr>
          <w:color w:val="BF5A14"/>
        </w:rPr>
        <w:t>Abstract</w:t>
      </w:r>
    </w:p>
    <w:p w14:paraId="2815CB12" w14:textId="77777777" w:rsidR="00F379F8" w:rsidRPr="00F379F8" w:rsidRDefault="00F379F8" w:rsidP="00F379F8">
      <w:pPr>
        <w:pStyle w:val="Heading3"/>
        <w:spacing w:before="74"/>
        <w:jc w:val="both"/>
        <w:rPr>
          <w:b w:val="0"/>
          <w:bCs w:val="0"/>
        </w:rPr>
      </w:pPr>
      <w:r w:rsidRPr="00F379F8">
        <w:rPr>
          <w:b w:val="0"/>
          <w:bCs w:val="0"/>
        </w:rPr>
        <w:t>Catalytic activity is the most important property among the catalytic performance of transition metal complexes. Many achievements have been obtained previously on increasing the catalytic activity of complex, by the modification of ligands, the change of substitutions on ligands as well as the design of new structure of ligand [1</w:t>
      </w:r>
      <w:r w:rsidRPr="00F379F8">
        <w:rPr>
          <w:b w:val="0"/>
          <w:bCs w:val="0"/>
        </w:rPr>
        <w:sym w:font="Symbol" w:char="F02D"/>
      </w:r>
      <w:r w:rsidRPr="00F379F8">
        <w:rPr>
          <w:b w:val="0"/>
          <w:bCs w:val="0"/>
        </w:rPr>
        <w:t>2]</w:t>
      </w:r>
      <w:r w:rsidRPr="00F379F8">
        <w:rPr>
          <w:rFonts w:hint="eastAsia"/>
          <w:b w:val="0"/>
          <w:bCs w:val="0"/>
        </w:rPr>
        <w:t>.</w:t>
      </w:r>
      <w:r w:rsidRPr="00F379F8">
        <w:rPr>
          <w:b w:val="0"/>
          <w:bCs w:val="0"/>
        </w:rPr>
        <w:t xml:space="preserve"> However, the potential principle of transition metal complex with high catalytic activity is still necessary to be clarified at the molecular level. The catalytic activity is fundamentally determined by the structure of catalyst, including the electronic and steric effects. To expose the relationship between catalyst structure and </w:t>
      </w:r>
      <w:r w:rsidRPr="00F379F8">
        <w:rPr>
          <w:rFonts w:hint="eastAsia"/>
          <w:b w:val="0"/>
          <w:bCs w:val="0"/>
        </w:rPr>
        <w:t>reaction</w:t>
      </w:r>
      <w:r w:rsidRPr="00F379F8">
        <w:rPr>
          <w:b w:val="0"/>
          <w:bCs w:val="0"/>
        </w:rPr>
        <w:t xml:space="preserve"> activity, two carbocyclic fused </w:t>
      </w:r>
      <w:proofErr w:type="spellStart"/>
      <w:r w:rsidRPr="00F379F8">
        <w:rPr>
          <w:rFonts w:hint="eastAsia"/>
          <w:b w:val="0"/>
          <w:bCs w:val="0"/>
        </w:rPr>
        <w:t>p</w:t>
      </w:r>
      <w:r w:rsidRPr="00F379F8">
        <w:rPr>
          <w:b w:val="0"/>
          <w:bCs w:val="0"/>
        </w:rPr>
        <w:t>yridineimine</w:t>
      </w:r>
      <w:proofErr w:type="spellEnd"/>
      <w:r w:rsidRPr="00F379F8">
        <w:rPr>
          <w:b w:val="0"/>
          <w:bCs w:val="0"/>
        </w:rPr>
        <w:t xml:space="preserve"> nickel analogue system</w:t>
      </w:r>
      <w:r w:rsidRPr="00F379F8">
        <w:rPr>
          <w:rFonts w:hint="eastAsia"/>
          <w:b w:val="0"/>
          <w:bCs w:val="0"/>
        </w:rPr>
        <w:t>s (Ni1 and Ni2</w:t>
      </w:r>
      <w:r w:rsidRPr="00F379F8">
        <w:rPr>
          <w:b w:val="0"/>
          <w:bCs w:val="0"/>
        </w:rPr>
        <w:t xml:space="preserve">) with </w:t>
      </w:r>
      <w:r w:rsidRPr="00F379F8">
        <w:rPr>
          <w:rFonts w:hint="eastAsia"/>
          <w:b w:val="0"/>
          <w:bCs w:val="0"/>
        </w:rPr>
        <w:t xml:space="preserve">different fused </w:t>
      </w:r>
      <w:r w:rsidRPr="00F379F8">
        <w:rPr>
          <w:b w:val="0"/>
          <w:bCs w:val="0"/>
        </w:rPr>
        <w:t>member</w:t>
      </w:r>
      <w:r w:rsidRPr="00F379F8">
        <w:rPr>
          <w:rFonts w:hint="eastAsia"/>
          <w:b w:val="0"/>
          <w:bCs w:val="0"/>
        </w:rPr>
        <w:t xml:space="preserve"> ring</w:t>
      </w:r>
      <w:r w:rsidRPr="00F379F8">
        <w:rPr>
          <w:b w:val="0"/>
          <w:bCs w:val="0"/>
        </w:rPr>
        <w:t xml:space="preserve"> are investigated [3</w:t>
      </w:r>
      <w:r w:rsidRPr="00F379F8">
        <w:rPr>
          <w:b w:val="0"/>
          <w:bCs w:val="0"/>
        </w:rPr>
        <w:sym w:font="Symbol" w:char="F02D"/>
      </w:r>
      <w:r w:rsidRPr="00F379F8">
        <w:rPr>
          <w:b w:val="0"/>
          <w:bCs w:val="0"/>
        </w:rPr>
        <w:t>4]. Multiple linear regression analysis is performed by means of five electronic and two steric descriptors, including Hammett constant (</w:t>
      </w:r>
      <w:r w:rsidRPr="00F379F8">
        <w:rPr>
          <w:b w:val="0"/>
          <w:bCs w:val="0"/>
          <w:i/>
        </w:rPr>
        <w:t>F</w:t>
      </w:r>
      <w:r w:rsidRPr="00F379F8">
        <w:rPr>
          <w:b w:val="0"/>
          <w:bCs w:val="0"/>
        </w:rPr>
        <w:t>), effective net charge (</w:t>
      </w:r>
      <w:proofErr w:type="spellStart"/>
      <w:r w:rsidRPr="00F379F8">
        <w:rPr>
          <w:b w:val="0"/>
          <w:bCs w:val="0"/>
          <w:i/>
        </w:rPr>
        <w:t>Q</w:t>
      </w:r>
      <w:r w:rsidRPr="00F379F8">
        <w:rPr>
          <w:b w:val="0"/>
          <w:bCs w:val="0"/>
          <w:vertAlign w:val="subscript"/>
        </w:rPr>
        <w:t>eff</w:t>
      </w:r>
      <w:proofErr w:type="spellEnd"/>
      <w:r w:rsidRPr="00F379F8">
        <w:rPr>
          <w:b w:val="0"/>
          <w:bCs w:val="0"/>
        </w:rPr>
        <w:t>), energy difference (</w:t>
      </w:r>
      <w:r w:rsidRPr="00F379F8">
        <w:rPr>
          <w:b w:val="0"/>
          <w:bCs w:val="0"/>
        </w:rPr>
        <w:sym w:font="Symbol" w:char="F044"/>
      </w:r>
      <w:r w:rsidRPr="00F379F8">
        <w:rPr>
          <w:b w:val="0"/>
          <w:bCs w:val="0"/>
          <w:i/>
        </w:rPr>
        <w:t>E</w:t>
      </w:r>
      <w:r w:rsidRPr="00F379F8">
        <w:rPr>
          <w:b w:val="0"/>
          <w:bCs w:val="0"/>
        </w:rPr>
        <w:t>), HOMO‒LUMO energy gap (Δ</w:t>
      </w:r>
      <w:r w:rsidRPr="00F379F8">
        <w:rPr>
          <w:b w:val="0"/>
          <w:bCs w:val="0"/>
          <w:i/>
        </w:rPr>
        <w:sym w:font="Symbol" w:char="F065"/>
      </w:r>
      <w:r w:rsidRPr="00F379F8">
        <w:rPr>
          <w:b w:val="0"/>
          <w:bCs w:val="0"/>
          <w:vertAlign w:val="subscript"/>
        </w:rPr>
        <w:t>1,</w:t>
      </w:r>
      <w:r w:rsidRPr="00F379F8">
        <w:rPr>
          <w:b w:val="0"/>
          <w:bCs w:val="0"/>
        </w:rPr>
        <w:t xml:space="preserve"> Δ</w:t>
      </w:r>
      <w:r w:rsidRPr="00F379F8">
        <w:rPr>
          <w:b w:val="0"/>
          <w:bCs w:val="0"/>
          <w:i/>
        </w:rPr>
        <w:sym w:font="Symbol" w:char="F065"/>
      </w:r>
      <w:r w:rsidRPr="00F379F8">
        <w:rPr>
          <w:b w:val="0"/>
          <w:bCs w:val="0"/>
          <w:vertAlign w:val="subscript"/>
        </w:rPr>
        <w:t>2</w:t>
      </w:r>
      <w:r w:rsidRPr="00F379F8">
        <w:rPr>
          <w:b w:val="0"/>
          <w:bCs w:val="0"/>
        </w:rPr>
        <w:t>), open cone angle (</w:t>
      </w:r>
      <w:r w:rsidRPr="00F379F8">
        <w:rPr>
          <w:b w:val="0"/>
          <w:bCs w:val="0"/>
          <w:i/>
        </w:rPr>
        <w:t>θ</w:t>
      </w:r>
      <w:r w:rsidRPr="00F379F8">
        <w:rPr>
          <w:b w:val="0"/>
          <w:bCs w:val="0"/>
        </w:rPr>
        <w:t>), and bite angle (</w:t>
      </w:r>
      <w:r w:rsidRPr="00F379F8">
        <w:rPr>
          <w:b w:val="0"/>
          <w:bCs w:val="0"/>
          <w:i/>
        </w:rPr>
        <w:t>β</w:t>
      </w:r>
      <w:r w:rsidRPr="00F379F8">
        <w:rPr>
          <w:b w:val="0"/>
          <w:bCs w:val="0"/>
        </w:rPr>
        <w:t>) [5]. The value of correlation</w:t>
      </w:r>
      <w:r w:rsidRPr="00F379F8">
        <w:rPr>
          <w:rFonts w:hint="eastAsia"/>
          <w:b w:val="0"/>
          <w:bCs w:val="0"/>
        </w:rPr>
        <w:t xml:space="preserve"> </w:t>
      </w:r>
      <w:r w:rsidRPr="00F379F8">
        <w:rPr>
          <w:b w:val="0"/>
          <w:bCs w:val="0"/>
        </w:rPr>
        <w:t>coefficient</w:t>
      </w:r>
      <w:r w:rsidRPr="00F379F8">
        <w:rPr>
          <w:rFonts w:hint="eastAsia"/>
          <w:b w:val="0"/>
          <w:bCs w:val="0"/>
        </w:rPr>
        <w:t xml:space="preserve"> values (</w:t>
      </w:r>
      <w:r w:rsidRPr="00F379F8">
        <w:rPr>
          <w:b w:val="0"/>
          <w:bCs w:val="0"/>
          <w:i/>
        </w:rPr>
        <w:t>R</w:t>
      </w:r>
      <w:r w:rsidRPr="00F379F8">
        <w:rPr>
          <w:rFonts w:hint="eastAsia"/>
          <w:b w:val="0"/>
          <w:bCs w:val="0"/>
          <w:vertAlign w:val="superscript"/>
        </w:rPr>
        <w:t>2</w:t>
      </w:r>
      <w:r w:rsidRPr="00F379F8">
        <w:rPr>
          <w:rFonts w:hint="eastAsia"/>
          <w:b w:val="0"/>
          <w:bCs w:val="0"/>
        </w:rPr>
        <w:t>)</w:t>
      </w:r>
      <w:r w:rsidRPr="00F379F8">
        <w:rPr>
          <w:b w:val="0"/>
          <w:bCs w:val="0"/>
        </w:rPr>
        <w:t xml:space="preserve"> is over 0.938</w:t>
      </w:r>
      <w:r w:rsidRPr="00F379F8">
        <w:rPr>
          <w:rFonts w:hint="eastAsia"/>
          <w:b w:val="0"/>
          <w:bCs w:val="0"/>
        </w:rPr>
        <w:t xml:space="preserve"> obtained by</w:t>
      </w:r>
      <w:r w:rsidRPr="00F379F8">
        <w:rPr>
          <w:b w:val="0"/>
          <w:bCs w:val="0"/>
        </w:rPr>
        <w:t xml:space="preserve"> using </w:t>
      </w:r>
      <w:r w:rsidRPr="00F379F8">
        <w:rPr>
          <w:rFonts w:hint="eastAsia"/>
          <w:b w:val="0"/>
          <w:bCs w:val="0"/>
        </w:rPr>
        <w:t>the combinations of effective net charge (</w:t>
      </w:r>
      <w:proofErr w:type="spellStart"/>
      <w:r w:rsidRPr="00F379F8">
        <w:rPr>
          <w:rFonts w:hint="eastAsia"/>
          <w:b w:val="0"/>
          <w:bCs w:val="0"/>
          <w:i/>
        </w:rPr>
        <w:t>Q</w:t>
      </w:r>
      <w:r w:rsidRPr="00F379F8">
        <w:rPr>
          <w:b w:val="0"/>
          <w:bCs w:val="0"/>
          <w:vertAlign w:val="subscript"/>
        </w:rPr>
        <w:t>eff</w:t>
      </w:r>
      <w:proofErr w:type="spellEnd"/>
      <w:r w:rsidRPr="00F379F8">
        <w:rPr>
          <w:rFonts w:hint="eastAsia"/>
          <w:b w:val="0"/>
          <w:bCs w:val="0"/>
        </w:rPr>
        <w:t>) and open cone angle (</w:t>
      </w:r>
      <w:r w:rsidRPr="00F379F8">
        <w:rPr>
          <w:b w:val="0"/>
          <w:bCs w:val="0"/>
          <w:i/>
        </w:rPr>
        <w:t>θ</w:t>
      </w:r>
      <w:r w:rsidRPr="00F379F8">
        <w:rPr>
          <w:rFonts w:hint="eastAsia"/>
          <w:b w:val="0"/>
          <w:bCs w:val="0"/>
        </w:rPr>
        <w:t>) for both individual and comparison</w:t>
      </w:r>
      <w:r w:rsidRPr="00F379F8">
        <w:rPr>
          <w:b w:val="0"/>
          <w:bCs w:val="0"/>
        </w:rPr>
        <w:t xml:space="preserve"> analogues</w:t>
      </w:r>
      <w:r w:rsidRPr="00F379F8">
        <w:rPr>
          <w:rFonts w:hint="eastAsia"/>
          <w:b w:val="0"/>
          <w:bCs w:val="0"/>
        </w:rPr>
        <w:t xml:space="preserve"> systems</w:t>
      </w:r>
      <w:r w:rsidRPr="00F379F8">
        <w:rPr>
          <w:b w:val="0"/>
          <w:bCs w:val="0"/>
        </w:rPr>
        <w:t>. T</w:t>
      </w:r>
      <w:r w:rsidRPr="00F379F8">
        <w:rPr>
          <w:rFonts w:hint="eastAsia"/>
          <w:b w:val="0"/>
          <w:bCs w:val="0"/>
        </w:rPr>
        <w:t xml:space="preserve">he contribution </w:t>
      </w:r>
      <w:r w:rsidRPr="00F379F8">
        <w:rPr>
          <w:b w:val="0"/>
          <w:bCs w:val="0"/>
        </w:rPr>
        <w:t>analysis</w:t>
      </w:r>
      <w:r w:rsidRPr="00F379F8">
        <w:rPr>
          <w:rFonts w:hint="eastAsia"/>
          <w:b w:val="0"/>
          <w:bCs w:val="0"/>
        </w:rPr>
        <w:t xml:space="preserve"> indicate</w:t>
      </w:r>
      <w:r w:rsidRPr="00F379F8">
        <w:rPr>
          <w:b w:val="0"/>
          <w:bCs w:val="0"/>
        </w:rPr>
        <w:t>s</w:t>
      </w:r>
      <w:r w:rsidRPr="00F379F8">
        <w:rPr>
          <w:rFonts w:hint="eastAsia"/>
          <w:b w:val="0"/>
          <w:bCs w:val="0"/>
        </w:rPr>
        <w:t xml:space="preserve"> that the</w:t>
      </w:r>
      <w:r w:rsidRPr="00F379F8">
        <w:rPr>
          <w:b w:val="0"/>
          <w:bCs w:val="0"/>
        </w:rPr>
        <w:t xml:space="preserve"> dominant descriptor is</w:t>
      </w:r>
      <w:r w:rsidRPr="00F379F8">
        <w:rPr>
          <w:rFonts w:hint="eastAsia"/>
          <w:b w:val="0"/>
          <w:bCs w:val="0"/>
        </w:rPr>
        <w:t xml:space="preserve"> effective net charge (</w:t>
      </w:r>
      <w:proofErr w:type="spellStart"/>
      <w:r w:rsidRPr="00F379F8">
        <w:rPr>
          <w:rFonts w:hint="eastAsia"/>
          <w:b w:val="0"/>
          <w:bCs w:val="0"/>
          <w:i/>
        </w:rPr>
        <w:t>Q</w:t>
      </w:r>
      <w:r w:rsidRPr="00F379F8">
        <w:rPr>
          <w:b w:val="0"/>
          <w:bCs w:val="0"/>
          <w:vertAlign w:val="subscript"/>
        </w:rPr>
        <w:t>eff</w:t>
      </w:r>
      <w:proofErr w:type="spellEnd"/>
      <w:r w:rsidRPr="00F379F8">
        <w:rPr>
          <w:rFonts w:hint="eastAsia"/>
          <w:b w:val="0"/>
          <w:bCs w:val="0"/>
        </w:rPr>
        <w:t>)</w:t>
      </w:r>
      <w:r w:rsidRPr="00F379F8">
        <w:rPr>
          <w:b w:val="0"/>
          <w:bCs w:val="0"/>
        </w:rPr>
        <w:t xml:space="preserve"> </w:t>
      </w:r>
      <w:r w:rsidRPr="00F379F8">
        <w:rPr>
          <w:rFonts w:hint="eastAsia"/>
          <w:b w:val="0"/>
          <w:bCs w:val="0"/>
        </w:rPr>
        <w:t xml:space="preserve">in Ni1 </w:t>
      </w:r>
      <w:r w:rsidRPr="00F379F8">
        <w:rPr>
          <w:b w:val="0"/>
          <w:bCs w:val="0"/>
        </w:rPr>
        <w:t>system</w:t>
      </w:r>
      <w:r w:rsidRPr="00F379F8">
        <w:rPr>
          <w:rFonts w:hint="eastAsia"/>
          <w:b w:val="0"/>
          <w:bCs w:val="0"/>
        </w:rPr>
        <w:t xml:space="preserve"> and open cone angle (</w:t>
      </w:r>
      <w:r w:rsidRPr="00F379F8">
        <w:rPr>
          <w:b w:val="0"/>
          <w:bCs w:val="0"/>
          <w:i/>
        </w:rPr>
        <w:t>θ</w:t>
      </w:r>
      <w:r w:rsidRPr="00F379F8">
        <w:rPr>
          <w:rFonts w:hint="eastAsia"/>
          <w:b w:val="0"/>
          <w:bCs w:val="0"/>
        </w:rPr>
        <w:t>) in Ni2 systems, respectively</w:t>
      </w:r>
      <w:r w:rsidRPr="00F379F8">
        <w:rPr>
          <w:b w:val="0"/>
          <w:bCs w:val="0"/>
        </w:rPr>
        <w:t xml:space="preserve">. </w:t>
      </w:r>
    </w:p>
    <w:p w14:paraId="685C0AFA" w14:textId="77777777" w:rsidR="00AE3E37" w:rsidRDefault="00A9710C">
      <w:pPr>
        <w:pStyle w:val="Heading3"/>
        <w:spacing w:before="74"/>
      </w:pPr>
      <w:r>
        <w:rPr>
          <w:b w:val="0"/>
        </w:rPr>
        <w:br w:type="column"/>
      </w:r>
      <w:r>
        <w:rPr>
          <w:color w:val="BF5A14"/>
        </w:rPr>
        <w:t>Image</w:t>
      </w:r>
    </w:p>
    <w:p w14:paraId="2E1E15A7" w14:textId="7333568D" w:rsidR="00AE3E37" w:rsidRDefault="00106836" w:rsidP="00106836">
      <w:pPr>
        <w:pStyle w:val="BodyText"/>
        <w:spacing w:before="2"/>
        <w:ind w:right="-602"/>
        <w:rPr>
          <w:rFonts w:ascii="Arial"/>
          <w:b/>
          <w:sz w:val="16"/>
        </w:rPr>
      </w:pPr>
      <w:r w:rsidRPr="0082024D">
        <w:rPr>
          <w:noProof/>
          <w:sz w:val="24"/>
        </w:rPr>
        <w:drawing>
          <wp:inline distT="0" distB="0" distL="0" distR="0" wp14:anchorId="22647F7A" wp14:editId="047B39C6">
            <wp:extent cx="1828800" cy="1337094"/>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1828800" cy="1337094"/>
                    </a:xfrm>
                    <a:prstGeom prst="rect">
                      <a:avLst/>
                    </a:prstGeom>
                    <a:noFill/>
                    <a:ln w="9525">
                      <a:noFill/>
                      <a:miter lim="800000"/>
                      <a:headEnd/>
                      <a:tailEnd/>
                    </a:ln>
                  </pic:spPr>
                </pic:pic>
              </a:graphicData>
            </a:graphic>
          </wp:inline>
        </w:drawing>
      </w:r>
      <w:r w:rsidRPr="0082024D">
        <w:rPr>
          <w:noProof/>
          <w:sz w:val="24"/>
        </w:rPr>
        <w:drawing>
          <wp:inline distT="0" distB="0" distL="0" distR="0" wp14:anchorId="4D0749CF" wp14:editId="2BA77353">
            <wp:extent cx="1828800" cy="1337094"/>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1828800" cy="1337094"/>
                    </a:xfrm>
                    <a:prstGeom prst="rect">
                      <a:avLst/>
                    </a:prstGeom>
                    <a:noFill/>
                    <a:ln w="9525">
                      <a:noFill/>
                      <a:miter lim="800000"/>
                      <a:headEnd/>
                      <a:tailEnd/>
                    </a:ln>
                  </pic:spPr>
                </pic:pic>
              </a:graphicData>
            </a:graphic>
          </wp:inline>
        </w:drawing>
      </w:r>
    </w:p>
    <w:p w14:paraId="138C4EF2" w14:textId="08BD46CD" w:rsidR="00106836" w:rsidRDefault="00106836" w:rsidP="00106836">
      <w:pPr>
        <w:pStyle w:val="BodyText"/>
        <w:spacing w:before="2"/>
        <w:ind w:right="-602"/>
        <w:rPr>
          <w:rFonts w:ascii="Arial"/>
          <w:b/>
          <w:sz w:val="16"/>
        </w:rPr>
      </w:pPr>
    </w:p>
    <w:p w14:paraId="6051D261" w14:textId="0438C68C" w:rsidR="00106836" w:rsidRPr="00106836" w:rsidRDefault="00106836" w:rsidP="00106836">
      <w:pPr>
        <w:pStyle w:val="BodyText"/>
        <w:spacing w:before="2"/>
        <w:ind w:right="-602"/>
        <w:jc w:val="center"/>
        <w:rPr>
          <w:rFonts w:ascii="Arial"/>
          <w:bCs/>
          <w:sz w:val="16"/>
        </w:rPr>
      </w:pPr>
      <w:r w:rsidRPr="00106836">
        <w:rPr>
          <w:bCs/>
          <w:noProof/>
          <w:sz w:val="24"/>
        </w:rPr>
        <w:drawing>
          <wp:inline distT="0" distB="0" distL="0" distR="0" wp14:anchorId="1125936C" wp14:editId="6995504D">
            <wp:extent cx="1828800" cy="1335024"/>
            <wp:effectExtent l="0" t="0" r="0" b="0"/>
            <wp:docPr id="1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828800" cy="1335024"/>
                    </a:xfrm>
                    <a:prstGeom prst="rect">
                      <a:avLst/>
                    </a:prstGeom>
                    <a:noFill/>
                    <a:ln w="9525">
                      <a:noFill/>
                      <a:miter lim="800000"/>
                      <a:headEnd/>
                      <a:tailEnd/>
                    </a:ln>
                  </pic:spPr>
                </pic:pic>
              </a:graphicData>
            </a:graphic>
          </wp:inline>
        </w:drawing>
      </w:r>
    </w:p>
    <w:p w14:paraId="7BBB3473" w14:textId="76D2C03A" w:rsidR="00106836" w:rsidRDefault="00106836" w:rsidP="00106836">
      <w:pPr>
        <w:pStyle w:val="BodyText"/>
        <w:spacing w:before="2"/>
        <w:ind w:right="-602"/>
        <w:rPr>
          <w:rFonts w:ascii="Arial"/>
          <w:bCs/>
          <w:sz w:val="16"/>
        </w:rPr>
      </w:pPr>
      <w:r w:rsidRPr="00106836">
        <w:rPr>
          <w:rFonts w:ascii="Arial"/>
          <w:bCs/>
          <w:sz w:val="16"/>
        </w:rPr>
        <w:t xml:space="preserve">Fig 1. </w:t>
      </w:r>
      <w:r w:rsidRPr="00106836">
        <w:rPr>
          <w:rFonts w:ascii="Arial" w:hint="eastAsia"/>
          <w:bCs/>
          <w:sz w:val="16"/>
        </w:rPr>
        <w:t>Comparisons</w:t>
      </w:r>
      <w:r w:rsidRPr="00106836">
        <w:rPr>
          <w:rFonts w:ascii="Arial"/>
          <w:bCs/>
          <w:sz w:val="16"/>
        </w:rPr>
        <w:t xml:space="preserve"> between calculated and experimental activities of (a) Ni1 system</w:t>
      </w:r>
      <w:r w:rsidRPr="00106836">
        <w:rPr>
          <w:rFonts w:ascii="Arial" w:hint="eastAsia"/>
          <w:bCs/>
          <w:sz w:val="16"/>
        </w:rPr>
        <w:t>,</w:t>
      </w:r>
      <w:r w:rsidRPr="00106836">
        <w:rPr>
          <w:rFonts w:ascii="Arial"/>
          <w:bCs/>
          <w:sz w:val="16"/>
        </w:rPr>
        <w:t xml:space="preserve"> (b)</w:t>
      </w:r>
      <w:r w:rsidRPr="00106836">
        <w:rPr>
          <w:rFonts w:ascii="Arial" w:hint="eastAsia"/>
          <w:bCs/>
          <w:sz w:val="16"/>
        </w:rPr>
        <w:t xml:space="preserve"> </w:t>
      </w:r>
      <w:r w:rsidRPr="00106836">
        <w:rPr>
          <w:rFonts w:ascii="Arial"/>
          <w:bCs/>
          <w:sz w:val="16"/>
        </w:rPr>
        <w:t>Ni2 system, and (c) Ni1</w:t>
      </w:r>
      <w:r w:rsidRPr="00106836">
        <w:rPr>
          <w:rFonts w:ascii="Arial" w:hAnsi="Arial" w:cs="Arial"/>
          <w:bCs/>
          <w:sz w:val="16"/>
        </w:rPr>
        <w:t>‒</w:t>
      </w:r>
      <w:r w:rsidRPr="00106836">
        <w:rPr>
          <w:rFonts w:ascii="Arial"/>
          <w:bCs/>
          <w:sz w:val="16"/>
        </w:rPr>
        <w:t xml:space="preserve">Ni2 analogue system, using </w:t>
      </w:r>
      <w:r w:rsidRPr="00106836">
        <w:rPr>
          <w:rFonts w:ascii="Arial" w:hint="eastAsia"/>
          <w:bCs/>
          <w:sz w:val="16"/>
        </w:rPr>
        <w:t xml:space="preserve">the descriptors </w:t>
      </w:r>
      <w:r w:rsidRPr="00106836">
        <w:rPr>
          <w:rFonts w:ascii="Arial"/>
          <w:bCs/>
          <w:sz w:val="16"/>
        </w:rPr>
        <w:t>of</w:t>
      </w:r>
      <w:r w:rsidRPr="00106836">
        <w:rPr>
          <w:rFonts w:ascii="Arial" w:hint="eastAsia"/>
          <w:bCs/>
          <w:sz w:val="16"/>
        </w:rPr>
        <w:t xml:space="preserve"> </w:t>
      </w:r>
      <w:r w:rsidRPr="00106836">
        <w:rPr>
          <w:rFonts w:ascii="Arial"/>
          <w:bCs/>
          <w:sz w:val="16"/>
        </w:rPr>
        <w:t>effective net charge (</w:t>
      </w:r>
      <w:proofErr w:type="spellStart"/>
      <w:r w:rsidRPr="00106836">
        <w:rPr>
          <w:rFonts w:ascii="Arial"/>
          <w:bCs/>
          <w:i/>
          <w:sz w:val="16"/>
        </w:rPr>
        <w:t>Q</w:t>
      </w:r>
      <w:r w:rsidRPr="00106836">
        <w:rPr>
          <w:rFonts w:ascii="Arial"/>
          <w:bCs/>
          <w:sz w:val="16"/>
          <w:vertAlign w:val="subscript"/>
        </w:rPr>
        <w:t>eff</w:t>
      </w:r>
      <w:proofErr w:type="spellEnd"/>
      <w:r w:rsidRPr="00106836">
        <w:rPr>
          <w:rFonts w:ascii="Arial"/>
          <w:bCs/>
          <w:sz w:val="16"/>
        </w:rPr>
        <w:t>)</w:t>
      </w:r>
      <w:r w:rsidRPr="00106836">
        <w:rPr>
          <w:rFonts w:ascii="Arial" w:hint="eastAsia"/>
          <w:bCs/>
          <w:sz w:val="16"/>
        </w:rPr>
        <w:t xml:space="preserve"> and</w:t>
      </w:r>
      <w:r w:rsidRPr="00106836">
        <w:rPr>
          <w:rFonts w:ascii="Arial"/>
          <w:bCs/>
          <w:sz w:val="16"/>
        </w:rPr>
        <w:t xml:space="preserve"> open cone angle (</w:t>
      </w:r>
      <w:r w:rsidRPr="00106836">
        <w:rPr>
          <w:rFonts w:ascii="Calibri" w:hAnsi="Calibri" w:cs="Calibri"/>
          <w:bCs/>
          <w:i/>
          <w:sz w:val="16"/>
        </w:rPr>
        <w:t>θ</w:t>
      </w:r>
      <w:r w:rsidRPr="00106836">
        <w:rPr>
          <w:rFonts w:ascii="Arial"/>
          <w:bCs/>
          <w:sz w:val="16"/>
        </w:rPr>
        <w:t>).</w:t>
      </w:r>
    </w:p>
    <w:p w14:paraId="0E257493" w14:textId="77777777" w:rsidR="00106836" w:rsidRPr="00106836" w:rsidRDefault="00106836" w:rsidP="00106836">
      <w:pPr>
        <w:pStyle w:val="BodyText"/>
        <w:spacing w:before="2"/>
        <w:ind w:right="-602"/>
        <w:rPr>
          <w:rFonts w:ascii="Arial"/>
          <w:bCs/>
          <w:sz w:val="16"/>
        </w:rPr>
      </w:pPr>
    </w:p>
    <w:p w14:paraId="134EFB6C" w14:textId="3EE17451" w:rsidR="00106836" w:rsidRPr="00106836" w:rsidRDefault="00106836" w:rsidP="00106836">
      <w:pPr>
        <w:spacing w:line="204" w:lineRule="exact"/>
        <w:jc w:val="both"/>
        <w:rPr>
          <w:rFonts w:ascii="Arial"/>
          <w:bCs/>
          <w:sz w:val="20"/>
          <w:lang w:bidi="en-US"/>
        </w:rPr>
      </w:pPr>
      <w:r w:rsidRPr="00106836">
        <w:rPr>
          <w:rFonts w:ascii="Arial"/>
          <w:b/>
          <w:color w:val="BF5A14"/>
          <w:sz w:val="20"/>
        </w:rPr>
        <w:t>Acknowledgments</w:t>
      </w:r>
      <w:r w:rsidRPr="00106836">
        <w:rPr>
          <w:rFonts w:ascii="Arial" w:hint="eastAsia"/>
          <w:bCs/>
          <w:color w:val="BF5A14"/>
          <w:sz w:val="20"/>
        </w:rPr>
        <w:t>:</w:t>
      </w:r>
      <w:r w:rsidRPr="00106836">
        <w:rPr>
          <w:rFonts w:ascii="Arial"/>
          <w:bCs/>
          <w:color w:val="BF5A14"/>
          <w:sz w:val="20"/>
          <w:lang w:bidi="en-US"/>
        </w:rPr>
        <w:t xml:space="preserve"> </w:t>
      </w:r>
      <w:r w:rsidRPr="00106836">
        <w:rPr>
          <w:rFonts w:ascii="Arial"/>
          <w:bCs/>
          <w:sz w:val="20"/>
          <w:lang w:bidi="en-US"/>
        </w:rPr>
        <w:t>This work was financially supported by the National Natural Science Foundation of China (Grant Nos. 21871275 and 51861145303).</w:t>
      </w:r>
    </w:p>
    <w:p w14:paraId="0179DF3A" w14:textId="77777777" w:rsidR="003D7AE4" w:rsidRPr="003D7AE4" w:rsidRDefault="003D7AE4" w:rsidP="003D7AE4">
      <w:pPr>
        <w:spacing w:line="204" w:lineRule="exact"/>
        <w:rPr>
          <w:rFonts w:ascii="Arial"/>
          <w:b/>
          <w:color w:val="BF5A14"/>
          <w:sz w:val="20"/>
        </w:rPr>
      </w:pPr>
      <w:r w:rsidRPr="003D7AE4">
        <w:rPr>
          <w:rFonts w:ascii="Arial"/>
          <w:b/>
          <w:color w:val="BF5A14"/>
          <w:sz w:val="20"/>
        </w:rPr>
        <w:t>References</w:t>
      </w:r>
      <w:r w:rsidRPr="003D7AE4">
        <w:rPr>
          <w:rFonts w:ascii="Arial" w:hint="eastAsia"/>
          <w:b/>
          <w:color w:val="BF5A14"/>
          <w:sz w:val="20"/>
        </w:rPr>
        <w:t>:</w:t>
      </w:r>
    </w:p>
    <w:p w14:paraId="3B756AD8" w14:textId="77777777" w:rsidR="003D7AE4" w:rsidRPr="003D7AE4" w:rsidRDefault="003D7AE4" w:rsidP="003D7AE4">
      <w:pPr>
        <w:numPr>
          <w:ilvl w:val="0"/>
          <w:numId w:val="4"/>
        </w:numPr>
        <w:spacing w:line="204" w:lineRule="exact"/>
        <w:rPr>
          <w:rFonts w:ascii="Arial"/>
          <w:bCs/>
          <w:sz w:val="20"/>
        </w:rPr>
      </w:pPr>
      <w:r w:rsidRPr="003D7AE4">
        <w:rPr>
          <w:rFonts w:ascii="Arial"/>
          <w:bCs/>
          <w:sz w:val="20"/>
        </w:rPr>
        <w:t xml:space="preserve">Gibson, V.C.; </w:t>
      </w:r>
      <w:proofErr w:type="spellStart"/>
      <w:r w:rsidRPr="003D7AE4">
        <w:rPr>
          <w:rFonts w:ascii="Arial"/>
          <w:bCs/>
          <w:sz w:val="20"/>
        </w:rPr>
        <w:t>Redshaw</w:t>
      </w:r>
      <w:proofErr w:type="spellEnd"/>
      <w:r w:rsidRPr="003D7AE4">
        <w:rPr>
          <w:rFonts w:ascii="Arial"/>
          <w:bCs/>
          <w:sz w:val="20"/>
        </w:rPr>
        <w:t xml:space="preserve">, C.; </w:t>
      </w:r>
      <w:proofErr w:type="gramStart"/>
      <w:r w:rsidRPr="003D7AE4">
        <w:rPr>
          <w:rFonts w:ascii="Arial"/>
          <w:bCs/>
          <w:sz w:val="20"/>
        </w:rPr>
        <w:t>Solan ,</w:t>
      </w:r>
      <w:proofErr w:type="gramEnd"/>
      <w:r w:rsidRPr="003D7AE4">
        <w:rPr>
          <w:rFonts w:ascii="Arial"/>
          <w:bCs/>
          <w:sz w:val="20"/>
        </w:rPr>
        <w:t xml:space="preserve">G.A. </w:t>
      </w:r>
      <w:r w:rsidRPr="003D7AE4">
        <w:rPr>
          <w:rFonts w:ascii="Arial"/>
          <w:bCs/>
          <w:i/>
          <w:iCs/>
          <w:sz w:val="20"/>
        </w:rPr>
        <w:t>Chem</w:t>
      </w:r>
      <w:r w:rsidRPr="003D7AE4">
        <w:rPr>
          <w:rFonts w:ascii="Arial"/>
          <w:bCs/>
          <w:iCs/>
          <w:sz w:val="20"/>
        </w:rPr>
        <w:t>.</w:t>
      </w:r>
      <w:r w:rsidRPr="003D7AE4">
        <w:rPr>
          <w:rFonts w:ascii="Arial"/>
          <w:bCs/>
          <w:i/>
          <w:iCs/>
          <w:sz w:val="20"/>
        </w:rPr>
        <w:t xml:space="preserve"> Rev</w:t>
      </w:r>
      <w:r w:rsidRPr="003D7AE4">
        <w:rPr>
          <w:rFonts w:ascii="Arial"/>
          <w:bCs/>
          <w:iCs/>
          <w:sz w:val="20"/>
        </w:rPr>
        <w:t>.</w:t>
      </w:r>
      <w:r w:rsidRPr="003D7AE4">
        <w:rPr>
          <w:rFonts w:ascii="Arial"/>
          <w:bCs/>
          <w:sz w:val="20"/>
        </w:rPr>
        <w:t xml:space="preserve"> 2007, </w:t>
      </w:r>
      <w:r w:rsidRPr="003D7AE4">
        <w:rPr>
          <w:rFonts w:ascii="Arial"/>
          <w:bCs/>
          <w:i/>
          <w:sz w:val="20"/>
        </w:rPr>
        <w:t>107</w:t>
      </w:r>
      <w:r w:rsidRPr="003D7AE4">
        <w:rPr>
          <w:rFonts w:ascii="Arial"/>
          <w:bCs/>
          <w:sz w:val="20"/>
        </w:rPr>
        <w:t>, 1745</w:t>
      </w:r>
      <w:r w:rsidRPr="003D7AE4">
        <w:rPr>
          <w:rFonts w:ascii="Arial" w:hAnsi="Arial" w:cs="Arial"/>
          <w:bCs/>
          <w:sz w:val="20"/>
        </w:rPr>
        <w:t>‒</w:t>
      </w:r>
      <w:r w:rsidRPr="003D7AE4">
        <w:rPr>
          <w:rFonts w:ascii="Arial"/>
          <w:bCs/>
          <w:sz w:val="20"/>
        </w:rPr>
        <w:t>1776.</w:t>
      </w:r>
    </w:p>
    <w:p w14:paraId="2290B1D8" w14:textId="77777777" w:rsidR="003D7AE4" w:rsidRPr="003D7AE4" w:rsidRDefault="003D7AE4" w:rsidP="003D7AE4">
      <w:pPr>
        <w:numPr>
          <w:ilvl w:val="0"/>
          <w:numId w:val="4"/>
        </w:numPr>
        <w:spacing w:line="204" w:lineRule="exact"/>
        <w:rPr>
          <w:rFonts w:ascii="Arial"/>
          <w:bCs/>
          <w:sz w:val="20"/>
        </w:rPr>
      </w:pPr>
      <w:r w:rsidRPr="003D7AE4">
        <w:rPr>
          <w:rFonts w:ascii="Arial"/>
          <w:bCs/>
          <w:sz w:val="20"/>
        </w:rPr>
        <w:t xml:space="preserve">Zheng, W.; Solan, G.A.; Zhang, W.; Sun W.-H. </w:t>
      </w:r>
      <w:r w:rsidRPr="003D7AE4">
        <w:rPr>
          <w:rFonts w:ascii="Arial"/>
          <w:bCs/>
          <w:i/>
          <w:sz w:val="20"/>
        </w:rPr>
        <w:t>Coord</w:t>
      </w:r>
      <w:r w:rsidRPr="003D7AE4">
        <w:rPr>
          <w:rFonts w:ascii="Arial"/>
          <w:bCs/>
          <w:sz w:val="20"/>
        </w:rPr>
        <w:t xml:space="preserve">. </w:t>
      </w:r>
      <w:r w:rsidRPr="003D7AE4">
        <w:rPr>
          <w:rFonts w:ascii="Arial"/>
          <w:bCs/>
          <w:i/>
          <w:sz w:val="20"/>
        </w:rPr>
        <w:t>Chem</w:t>
      </w:r>
      <w:r w:rsidRPr="003D7AE4">
        <w:rPr>
          <w:rFonts w:ascii="Arial"/>
          <w:bCs/>
          <w:sz w:val="20"/>
        </w:rPr>
        <w:t xml:space="preserve">. </w:t>
      </w:r>
      <w:r w:rsidRPr="003D7AE4">
        <w:rPr>
          <w:rFonts w:ascii="Arial"/>
          <w:bCs/>
          <w:i/>
          <w:sz w:val="20"/>
        </w:rPr>
        <w:t>Rev</w:t>
      </w:r>
      <w:r w:rsidRPr="003D7AE4">
        <w:rPr>
          <w:rFonts w:ascii="Arial"/>
          <w:bCs/>
          <w:sz w:val="20"/>
        </w:rPr>
        <w:t xml:space="preserve">. 2018, </w:t>
      </w:r>
      <w:r w:rsidRPr="003D7AE4">
        <w:rPr>
          <w:rFonts w:ascii="Arial"/>
          <w:bCs/>
          <w:i/>
          <w:sz w:val="20"/>
        </w:rPr>
        <w:t>363</w:t>
      </w:r>
      <w:r w:rsidRPr="003D7AE4">
        <w:rPr>
          <w:rFonts w:ascii="Arial"/>
          <w:bCs/>
          <w:sz w:val="20"/>
        </w:rPr>
        <w:t>, 92</w:t>
      </w:r>
      <w:r w:rsidRPr="003D7AE4">
        <w:rPr>
          <w:rFonts w:ascii="Arial"/>
          <w:bCs/>
          <w:sz w:val="20"/>
        </w:rPr>
        <w:t>–</w:t>
      </w:r>
      <w:r w:rsidRPr="003D7AE4">
        <w:rPr>
          <w:rFonts w:ascii="Arial"/>
          <w:bCs/>
          <w:sz w:val="20"/>
        </w:rPr>
        <w:t>108 (2018).</w:t>
      </w:r>
    </w:p>
    <w:p w14:paraId="24037473" w14:textId="77777777" w:rsidR="003D7AE4" w:rsidRPr="003D7AE4" w:rsidRDefault="003D7AE4" w:rsidP="003D7AE4">
      <w:pPr>
        <w:numPr>
          <w:ilvl w:val="0"/>
          <w:numId w:val="4"/>
        </w:numPr>
        <w:spacing w:line="204" w:lineRule="exact"/>
        <w:rPr>
          <w:rFonts w:ascii="Arial"/>
          <w:bCs/>
          <w:sz w:val="20"/>
        </w:rPr>
      </w:pPr>
      <w:r w:rsidRPr="003D7AE4">
        <w:rPr>
          <w:rFonts w:ascii="Arial"/>
          <w:bCs/>
          <w:sz w:val="20"/>
        </w:rPr>
        <w:t xml:space="preserve">Yu, J.; Hu, X.; Zeng, Y.; Zhang, L.; Ni, C.; Hao, X.; Sun, W.-H. </w:t>
      </w:r>
      <w:r w:rsidRPr="003D7AE4">
        <w:rPr>
          <w:rFonts w:ascii="Arial"/>
          <w:bCs/>
          <w:i/>
          <w:sz w:val="20"/>
        </w:rPr>
        <w:t>New J. Chem</w:t>
      </w:r>
      <w:r w:rsidRPr="003D7AE4">
        <w:rPr>
          <w:rFonts w:ascii="Arial"/>
          <w:bCs/>
          <w:sz w:val="20"/>
        </w:rPr>
        <w:t xml:space="preserve">. 2011, </w:t>
      </w:r>
      <w:r w:rsidRPr="003D7AE4">
        <w:rPr>
          <w:rFonts w:ascii="Arial"/>
          <w:bCs/>
          <w:i/>
          <w:sz w:val="20"/>
        </w:rPr>
        <w:t>35</w:t>
      </w:r>
      <w:r w:rsidRPr="003D7AE4">
        <w:rPr>
          <w:rFonts w:ascii="Arial"/>
          <w:bCs/>
          <w:sz w:val="20"/>
        </w:rPr>
        <w:t>, 178</w:t>
      </w:r>
      <w:r w:rsidRPr="003D7AE4">
        <w:rPr>
          <w:rFonts w:ascii="Arial"/>
          <w:bCs/>
          <w:sz w:val="20"/>
        </w:rPr>
        <w:t>–</w:t>
      </w:r>
      <w:r w:rsidRPr="003D7AE4">
        <w:rPr>
          <w:rFonts w:ascii="Arial"/>
          <w:bCs/>
          <w:sz w:val="20"/>
        </w:rPr>
        <w:t>183.</w:t>
      </w:r>
    </w:p>
    <w:p w14:paraId="33973678" w14:textId="77777777" w:rsidR="003D7AE4" w:rsidRPr="003D7AE4" w:rsidRDefault="003D7AE4" w:rsidP="003D7AE4">
      <w:pPr>
        <w:numPr>
          <w:ilvl w:val="0"/>
          <w:numId w:val="4"/>
        </w:numPr>
        <w:spacing w:line="204" w:lineRule="exact"/>
        <w:rPr>
          <w:rFonts w:ascii="Arial"/>
          <w:bCs/>
          <w:sz w:val="20"/>
        </w:rPr>
      </w:pPr>
      <w:r w:rsidRPr="003D7AE4">
        <w:rPr>
          <w:rFonts w:ascii="Arial"/>
          <w:bCs/>
          <w:sz w:val="20"/>
        </w:rPr>
        <w:t xml:space="preserve">Huang, F.; Sun, Z.; Du, S.; Yue, E.; Ba, J.; Hu, X.; Liang, T.; </w:t>
      </w:r>
      <w:proofErr w:type="spellStart"/>
      <w:r w:rsidRPr="003D7AE4">
        <w:rPr>
          <w:rFonts w:ascii="Arial"/>
          <w:bCs/>
          <w:sz w:val="20"/>
        </w:rPr>
        <w:t>Galland</w:t>
      </w:r>
      <w:proofErr w:type="spellEnd"/>
      <w:r w:rsidRPr="003D7AE4">
        <w:rPr>
          <w:rFonts w:ascii="Arial"/>
          <w:bCs/>
          <w:sz w:val="20"/>
        </w:rPr>
        <w:t xml:space="preserve">, G. B.; Sun, W.-H. </w:t>
      </w:r>
      <w:r w:rsidRPr="003D7AE4">
        <w:rPr>
          <w:rFonts w:ascii="Arial"/>
          <w:bCs/>
          <w:i/>
          <w:sz w:val="20"/>
        </w:rPr>
        <w:t>Dalton Trans</w:t>
      </w:r>
      <w:r w:rsidRPr="003D7AE4">
        <w:rPr>
          <w:rFonts w:ascii="Arial"/>
          <w:bCs/>
          <w:sz w:val="20"/>
        </w:rPr>
        <w:t xml:space="preserve">. 2015, </w:t>
      </w:r>
      <w:r w:rsidRPr="003D7AE4">
        <w:rPr>
          <w:rFonts w:ascii="Arial"/>
          <w:bCs/>
          <w:i/>
          <w:sz w:val="20"/>
        </w:rPr>
        <w:t>44</w:t>
      </w:r>
      <w:r w:rsidRPr="003D7AE4">
        <w:rPr>
          <w:rFonts w:ascii="Arial"/>
          <w:bCs/>
          <w:sz w:val="20"/>
        </w:rPr>
        <w:t>, 14281</w:t>
      </w:r>
      <w:r w:rsidRPr="003D7AE4">
        <w:rPr>
          <w:rFonts w:ascii="Arial"/>
          <w:bCs/>
          <w:sz w:val="20"/>
        </w:rPr>
        <w:t>–</w:t>
      </w:r>
      <w:r w:rsidRPr="003D7AE4">
        <w:rPr>
          <w:rFonts w:ascii="Arial"/>
          <w:bCs/>
          <w:sz w:val="20"/>
        </w:rPr>
        <w:t xml:space="preserve">14292. </w:t>
      </w:r>
    </w:p>
    <w:p w14:paraId="4B117980" w14:textId="77777777" w:rsidR="003D7AE4" w:rsidRPr="003D7AE4" w:rsidRDefault="003D7AE4" w:rsidP="003D7AE4">
      <w:pPr>
        <w:numPr>
          <w:ilvl w:val="0"/>
          <w:numId w:val="4"/>
        </w:numPr>
        <w:spacing w:line="204" w:lineRule="exact"/>
        <w:rPr>
          <w:rFonts w:ascii="Arial"/>
          <w:bCs/>
          <w:sz w:val="20"/>
        </w:rPr>
      </w:pPr>
      <w:r w:rsidRPr="003D7AE4">
        <w:rPr>
          <w:rFonts w:ascii="Arial"/>
          <w:bCs/>
          <w:sz w:val="20"/>
        </w:rPr>
        <w:t xml:space="preserve">Ahmed, S.; Yang, W.; Ma, Z.; Sun, W.-H. </w:t>
      </w:r>
      <w:r w:rsidRPr="003D7AE4">
        <w:rPr>
          <w:rFonts w:ascii="Arial"/>
          <w:bCs/>
          <w:i/>
          <w:sz w:val="20"/>
        </w:rPr>
        <w:t>J</w:t>
      </w:r>
      <w:r w:rsidRPr="003D7AE4">
        <w:rPr>
          <w:rFonts w:ascii="Arial"/>
          <w:bCs/>
          <w:sz w:val="20"/>
        </w:rPr>
        <w:t>.</w:t>
      </w:r>
      <w:r w:rsidRPr="003D7AE4">
        <w:rPr>
          <w:rFonts w:ascii="Arial"/>
          <w:bCs/>
          <w:i/>
          <w:sz w:val="20"/>
        </w:rPr>
        <w:t xml:space="preserve"> Phys</w:t>
      </w:r>
      <w:r w:rsidRPr="003D7AE4">
        <w:rPr>
          <w:rFonts w:ascii="Arial"/>
          <w:bCs/>
          <w:sz w:val="20"/>
        </w:rPr>
        <w:t>.</w:t>
      </w:r>
      <w:r w:rsidRPr="003D7AE4">
        <w:rPr>
          <w:rFonts w:ascii="Arial"/>
          <w:bCs/>
          <w:i/>
          <w:sz w:val="20"/>
        </w:rPr>
        <w:t xml:space="preserve"> Chem</w:t>
      </w:r>
      <w:r w:rsidRPr="003D7AE4">
        <w:rPr>
          <w:rFonts w:ascii="Arial"/>
          <w:bCs/>
          <w:sz w:val="20"/>
        </w:rPr>
        <w:t>,</w:t>
      </w:r>
      <w:r w:rsidRPr="003D7AE4">
        <w:rPr>
          <w:rFonts w:ascii="Arial"/>
          <w:bCs/>
          <w:i/>
          <w:sz w:val="20"/>
        </w:rPr>
        <w:t xml:space="preserve"> A</w:t>
      </w:r>
      <w:r w:rsidRPr="003D7AE4">
        <w:rPr>
          <w:rFonts w:ascii="Arial"/>
          <w:bCs/>
          <w:sz w:val="20"/>
        </w:rPr>
        <w:t xml:space="preserve">. 2018, </w:t>
      </w:r>
      <w:r w:rsidRPr="003D7AE4">
        <w:rPr>
          <w:rFonts w:ascii="Arial"/>
          <w:bCs/>
          <w:i/>
          <w:sz w:val="20"/>
        </w:rPr>
        <w:t>122</w:t>
      </w:r>
      <w:r w:rsidRPr="003D7AE4">
        <w:rPr>
          <w:rFonts w:ascii="Arial"/>
          <w:bCs/>
          <w:sz w:val="20"/>
        </w:rPr>
        <w:t>, 9637</w:t>
      </w:r>
      <w:r w:rsidRPr="003D7AE4">
        <w:rPr>
          <w:rFonts w:ascii="Arial"/>
          <w:bCs/>
          <w:sz w:val="20"/>
        </w:rPr>
        <w:t>–</w:t>
      </w:r>
      <w:r w:rsidRPr="003D7AE4">
        <w:rPr>
          <w:rFonts w:ascii="Arial"/>
          <w:bCs/>
          <w:sz w:val="20"/>
        </w:rPr>
        <w:t>9644.</w:t>
      </w:r>
    </w:p>
    <w:p w14:paraId="53317E22" w14:textId="6C137598" w:rsidR="005973B9" w:rsidRDefault="005973B9" w:rsidP="005973B9">
      <w:pPr>
        <w:spacing w:line="204" w:lineRule="exact"/>
        <w:rPr>
          <w:rFonts w:ascii="Arial"/>
          <w:b/>
          <w:sz w:val="20"/>
        </w:rPr>
      </w:pPr>
      <w:r>
        <w:rPr>
          <w:rFonts w:ascii="Arial"/>
          <w:b/>
          <w:color w:val="BF5A14"/>
          <w:sz w:val="20"/>
        </w:rPr>
        <w:br/>
        <w:t>Recent Publications</w:t>
      </w:r>
    </w:p>
    <w:p w14:paraId="2CC0CFB8" w14:textId="4AE930AD" w:rsidR="005973B9" w:rsidRDefault="00330BBA" w:rsidP="00330BBA">
      <w:pPr>
        <w:pStyle w:val="ListParagraph"/>
        <w:numPr>
          <w:ilvl w:val="0"/>
          <w:numId w:val="3"/>
        </w:numPr>
        <w:tabs>
          <w:tab w:val="left" w:pos="384"/>
        </w:tabs>
        <w:spacing w:before="103" w:line="216" w:lineRule="exact"/>
        <w:ind w:right="138" w:hanging="283"/>
        <w:rPr>
          <w:sz w:val="18"/>
        </w:rPr>
      </w:pPr>
      <w:r w:rsidRPr="00330BBA">
        <w:rPr>
          <w:sz w:val="18"/>
        </w:rPr>
        <w:t xml:space="preserve">Malik, A.A.; Yang, W.; Ma, Z.; Sun, W.-H. The Catalytic Activities of Carbocyclic Fused </w:t>
      </w:r>
      <w:proofErr w:type="spellStart"/>
      <w:r w:rsidRPr="00330BBA">
        <w:rPr>
          <w:sz w:val="18"/>
        </w:rPr>
        <w:t>Pyridineimine</w:t>
      </w:r>
      <w:proofErr w:type="spellEnd"/>
      <w:r w:rsidRPr="00330BBA">
        <w:rPr>
          <w:sz w:val="18"/>
        </w:rPr>
        <w:t xml:space="preserve"> Nickel Complexes</w:t>
      </w:r>
      <w:r>
        <w:rPr>
          <w:sz w:val="18"/>
        </w:rPr>
        <w:t xml:space="preserve"> </w:t>
      </w:r>
      <w:r w:rsidRPr="00330BBA">
        <w:rPr>
          <w:sz w:val="18"/>
        </w:rPr>
        <w:t xml:space="preserve">Analogues in Ethylene Polymerization by Modeling Study. Catalysts </w:t>
      </w:r>
      <w:r w:rsidRPr="00330BBA">
        <w:rPr>
          <w:b/>
          <w:bCs/>
          <w:sz w:val="18"/>
        </w:rPr>
        <w:t>2019</w:t>
      </w:r>
      <w:r w:rsidRPr="00330BBA">
        <w:rPr>
          <w:sz w:val="18"/>
        </w:rPr>
        <w:t>, 9, 520.</w:t>
      </w:r>
    </w:p>
    <w:p w14:paraId="58879579" w14:textId="5CD77B12" w:rsidR="00AE3E37" w:rsidRPr="00213689" w:rsidRDefault="00213689" w:rsidP="00213689">
      <w:pPr>
        <w:pStyle w:val="ListParagraph"/>
        <w:numPr>
          <w:ilvl w:val="0"/>
          <w:numId w:val="3"/>
        </w:numPr>
        <w:tabs>
          <w:tab w:val="left" w:pos="384"/>
        </w:tabs>
        <w:spacing w:before="103" w:line="216" w:lineRule="exact"/>
        <w:ind w:right="138" w:hanging="283"/>
        <w:rPr>
          <w:sz w:val="18"/>
        </w:rPr>
      </w:pPr>
      <w:proofErr w:type="spellStart"/>
      <w:r w:rsidRPr="00213689">
        <w:rPr>
          <w:sz w:val="18"/>
        </w:rPr>
        <w:t>Meraz</w:t>
      </w:r>
      <w:proofErr w:type="spellEnd"/>
      <w:r w:rsidRPr="00213689">
        <w:rPr>
          <w:sz w:val="18"/>
        </w:rPr>
        <w:t xml:space="preserve">, M.M.; </w:t>
      </w:r>
      <w:r w:rsidR="00330BBA" w:rsidRPr="00330BBA">
        <w:rPr>
          <w:sz w:val="18"/>
        </w:rPr>
        <w:t>Malik, A.A.; Yang, W.; Sun, W.-H.</w:t>
      </w:r>
      <w:r w:rsidRPr="00213689">
        <w:rPr>
          <w:rFonts w:ascii="Arial" w:eastAsia="Times New Roman" w:hAnsi="Arial" w:cs="Arial"/>
          <w:color w:val="1A1A1A"/>
          <w:kern w:val="36"/>
          <w:sz w:val="39"/>
          <w:szCs w:val="39"/>
        </w:rPr>
        <w:t xml:space="preserve"> </w:t>
      </w:r>
      <w:r w:rsidRPr="00213689">
        <w:rPr>
          <w:sz w:val="18"/>
        </w:rPr>
        <w:t xml:space="preserve">Catalytic Performance of Cycloalkyl-Fused </w:t>
      </w:r>
      <w:proofErr w:type="spellStart"/>
      <w:r w:rsidRPr="00213689">
        <w:rPr>
          <w:sz w:val="18"/>
        </w:rPr>
        <w:t>Aryliminopyridyl</w:t>
      </w:r>
      <w:proofErr w:type="spellEnd"/>
      <w:r w:rsidRPr="00213689">
        <w:rPr>
          <w:sz w:val="18"/>
        </w:rPr>
        <w:t xml:space="preserve"> Nickel Complexes toward </w:t>
      </w:r>
      <w:proofErr w:type="spellStart"/>
      <w:r w:rsidRPr="00213689">
        <w:rPr>
          <w:sz w:val="18"/>
        </w:rPr>
        <w:t>Ethy</w:t>
      </w:r>
      <w:r w:rsidR="00215251">
        <w:rPr>
          <w:sz w:val="18"/>
        </w:rPr>
        <w:t>rfa</w:t>
      </w:r>
      <w:r w:rsidRPr="00213689">
        <w:rPr>
          <w:sz w:val="18"/>
        </w:rPr>
        <w:t>lene</w:t>
      </w:r>
      <w:proofErr w:type="spellEnd"/>
      <w:r w:rsidRPr="00213689">
        <w:rPr>
          <w:sz w:val="18"/>
        </w:rPr>
        <w:t xml:space="preserve"> Polymerization by QSPR Modeling</w:t>
      </w:r>
      <w:r w:rsidR="00330BBA" w:rsidRPr="00213689">
        <w:rPr>
          <w:sz w:val="18"/>
        </w:rPr>
        <w:t xml:space="preserve"> Catalysts 20</w:t>
      </w:r>
      <w:r w:rsidRPr="00213689">
        <w:rPr>
          <w:sz w:val="18"/>
        </w:rPr>
        <w:t>21</w:t>
      </w:r>
      <w:r w:rsidR="00330BBA" w:rsidRPr="00213689">
        <w:rPr>
          <w:sz w:val="18"/>
        </w:rPr>
        <w:t xml:space="preserve">, </w:t>
      </w:r>
      <w:r w:rsidRPr="00213689">
        <w:rPr>
          <w:sz w:val="18"/>
        </w:rPr>
        <w:t>11(8)</w:t>
      </w:r>
      <w:r w:rsidR="00330BBA" w:rsidRPr="00213689">
        <w:rPr>
          <w:sz w:val="18"/>
        </w:rPr>
        <w:t xml:space="preserve">, </w:t>
      </w:r>
      <w:r w:rsidRPr="00213689">
        <w:rPr>
          <w:sz w:val="18"/>
        </w:rPr>
        <w:t>9</w:t>
      </w:r>
      <w:r w:rsidR="00330BBA" w:rsidRPr="00213689">
        <w:rPr>
          <w:sz w:val="18"/>
        </w:rPr>
        <w:t>20.</w:t>
      </w:r>
      <w:r>
        <w:rPr>
          <w:sz w:val="18"/>
        </w:rPr>
        <w:t xml:space="preserve"> (Equal Contribution)</w:t>
      </w:r>
    </w:p>
    <w:p w14:paraId="647E2D6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7A1B312" w14:textId="77777777" w:rsidR="00AE3E37" w:rsidRDefault="00AE3E37">
      <w:pPr>
        <w:pStyle w:val="BodyText"/>
        <w:rPr>
          <w:rFonts w:ascii="Calibri"/>
          <w:sz w:val="20"/>
        </w:rPr>
      </w:pPr>
    </w:p>
    <w:p w14:paraId="715F98C5" w14:textId="4AB319EF" w:rsidR="00AE3E37" w:rsidRDefault="00215251">
      <w:pPr>
        <w:pStyle w:val="BodyText"/>
        <w:spacing w:line="40" w:lineRule="exact"/>
        <w:ind w:left="2202"/>
        <w:rPr>
          <w:rFonts w:ascii="Calibri"/>
          <w:sz w:val="4"/>
        </w:rPr>
      </w:pPr>
      <w:r>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235E747D" wp14:editId="28572CB2">
                <wp:simplePos x="0" y="0"/>
                <wp:positionH relativeFrom="column">
                  <wp:posOffset>3799205</wp:posOffset>
                </wp:positionH>
                <wp:positionV relativeFrom="paragraph">
                  <wp:posOffset>24130</wp:posOffset>
                </wp:positionV>
                <wp:extent cx="4391025" cy="962025"/>
                <wp:effectExtent l="0" t="0" r="0" b="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962025"/>
                        </a:xfrm>
                        <a:prstGeom prst="roundRect">
                          <a:avLst>
                            <a:gd name="adj" fmla="val 16667"/>
                          </a:avLst>
                        </a:prstGeom>
                        <a:noFill/>
                        <a:ln w="31750">
                          <a:noFill/>
                          <a:round/>
                          <a:headEnd/>
                          <a:tailEnd/>
                        </a:ln>
                        <a:effectLst/>
                      </wps:spPr>
                      <wps:txbx>
                        <w:txbxContent>
                          <w:p w14:paraId="4F70003A" w14:textId="3877AAE2" w:rsidR="00A52075" w:rsidRDefault="00215251" w:rsidP="00880A20">
                            <w:pPr>
                              <w:ind w:left="450" w:right="-900" w:hanging="450"/>
                              <w:rPr>
                                <w:b/>
                                <w:color w:val="0000FF"/>
                                <w:lang w:val="en-IN"/>
                              </w:rPr>
                            </w:pPr>
                            <w:r w:rsidRPr="00215251">
                              <w:rPr>
                                <w:rFonts w:ascii="Times New Roman" w:hAnsi="Times New Roman" w:cs="Times New Roman"/>
                                <w:noProof/>
                                <w:sz w:val="24"/>
                                <w:szCs w:val="24"/>
                              </w:rPr>
                              <w:drawing>
                                <wp:inline distT="0" distB="0" distL="0" distR="0" wp14:anchorId="0783E72E" wp14:editId="612F1363">
                                  <wp:extent cx="741680" cy="734815"/>
                                  <wp:effectExtent l="0" t="0" r="1270" b="8255"/>
                                  <wp:docPr id="10" name="Picture 9" descr="icas254">
                                    <a:extLst xmlns:a="http://schemas.openxmlformats.org/drawingml/2006/main">
                                      <a:ext uri="{FF2B5EF4-FFF2-40B4-BE49-F238E27FC236}">
                                        <a16:creationId xmlns:a16="http://schemas.microsoft.com/office/drawing/2014/main" id="{F627258A-E000-4F04-9E3D-AA1264FB65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icas254">
                                            <a:extLst>
                                              <a:ext uri="{FF2B5EF4-FFF2-40B4-BE49-F238E27FC236}">
                                                <a16:creationId xmlns:a16="http://schemas.microsoft.com/office/drawing/2014/main" id="{F627258A-E000-4F04-9E3D-AA1264FB6504}"/>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1680" cy="734815"/>
                                          </a:xfrm>
                                          <a:prstGeom prst="rect">
                                            <a:avLst/>
                                          </a:prstGeom>
                                          <a:noFill/>
                                          <a:ln>
                                            <a:noFill/>
                                          </a:ln>
                                        </pic:spPr>
                                      </pic:pic>
                                    </a:graphicData>
                                  </a:graphic>
                                </wp:inline>
                              </w:drawing>
                            </w:r>
                            <w:r w:rsidRPr="00215251">
                              <w:rPr>
                                <w:noProof/>
                              </w:rPr>
                              <w:t xml:space="preserve"> </w:t>
                            </w:r>
                            <w:r w:rsidRPr="00215251">
                              <w:rPr>
                                <w:noProof/>
                              </w:rPr>
                              <w:drawing>
                                <wp:inline distT="0" distB="0" distL="0" distR="0" wp14:anchorId="17A77675" wp14:editId="0B677FA8">
                                  <wp:extent cx="744855" cy="744855"/>
                                  <wp:effectExtent l="0" t="0" r="0" b="0"/>
                                  <wp:docPr id="16" name="Picture 2">
                                    <a:extLst xmlns:a="http://schemas.openxmlformats.org/drawingml/2006/main">
                                      <a:ext uri="{FF2B5EF4-FFF2-40B4-BE49-F238E27FC236}">
                                        <a16:creationId xmlns:a16="http://schemas.microsoft.com/office/drawing/2014/main" id="{95F50837-3306-4217-A2A2-FEC2B45D7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5F50837-3306-4217-A2A2-FEC2B45D784C}"/>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744855" cy="744855"/>
                                          </a:xfrm>
                                          <a:prstGeom prst="rect">
                                            <a:avLst/>
                                          </a:prstGeom>
                                        </pic:spPr>
                                      </pic:pic>
                                    </a:graphicData>
                                  </a:graphic>
                                </wp:inline>
                              </w:drawing>
                            </w:r>
                            <w:r w:rsidR="00880A20">
                              <w:rPr>
                                <w:noProof/>
                              </w:rPr>
                              <w:t xml:space="preserve"> </w:t>
                            </w:r>
                            <w:r w:rsidR="00880A20">
                              <w:rPr>
                                <w:noProof/>
                              </w:rPr>
                              <w:drawing>
                                <wp:inline distT="0" distB="0" distL="0" distR="0" wp14:anchorId="61E3687B" wp14:editId="6C2C225A">
                                  <wp:extent cx="1100690" cy="619125"/>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1111076" cy="62496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5E747D" id="Rounded Rectangle 2" o:spid="_x0000_s1026" style="position:absolute;left:0;text-align:left;margin-left:299.15pt;margin-top:1.9pt;width:345.75pt;height:7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" filled="f" stroked="f" strokeweight="2.5pt">
                <v:textbox>
                  <w:txbxContent>
                    <w:p w14:paraId="4F70003A" w14:textId="3877AAE2" w:rsidR="00A52075" w:rsidRDefault="00215251" w:rsidP="00880A20">
                      <w:pPr>
                        <w:ind w:left="450" w:right="-900" w:hanging="450"/>
                        <w:rPr>
                          <w:b/>
                          <w:color w:val="0000FF"/>
                          <w:lang w:val="en-IN"/>
                        </w:rPr>
                      </w:pPr>
                      <w:r w:rsidRPr="00215251">
                        <w:rPr>
                          <w:rFonts w:ascii="Times New Roman" w:hAnsi="Times New Roman" w:cs="Times New Roman"/>
                          <w:noProof/>
                          <w:sz w:val="24"/>
                          <w:szCs w:val="24"/>
                        </w:rPr>
                        <w:drawing>
                          <wp:inline distT="0" distB="0" distL="0" distR="0" wp14:anchorId="0783E72E" wp14:editId="612F1363">
                            <wp:extent cx="741680" cy="734815"/>
                            <wp:effectExtent l="0" t="0" r="1270" b="8255"/>
                            <wp:docPr id="10" name="Picture 9" descr="icas254">
                              <a:extLst xmlns:a="http://schemas.openxmlformats.org/drawingml/2006/main">
                                <a:ext uri="{FF2B5EF4-FFF2-40B4-BE49-F238E27FC236}">
                                  <a16:creationId xmlns:a16="http://schemas.microsoft.com/office/drawing/2014/main" id="{F627258A-E000-4F04-9E3D-AA1264FB65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icas254">
                                      <a:extLst>
                                        <a:ext uri="{FF2B5EF4-FFF2-40B4-BE49-F238E27FC236}">
                                          <a16:creationId xmlns:a16="http://schemas.microsoft.com/office/drawing/2014/main" id="{F627258A-E000-4F04-9E3D-AA1264FB6504}"/>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1680" cy="734815"/>
                                    </a:xfrm>
                                    <a:prstGeom prst="rect">
                                      <a:avLst/>
                                    </a:prstGeom>
                                    <a:noFill/>
                                    <a:ln>
                                      <a:noFill/>
                                    </a:ln>
                                  </pic:spPr>
                                </pic:pic>
                              </a:graphicData>
                            </a:graphic>
                          </wp:inline>
                        </w:drawing>
                      </w:r>
                      <w:r w:rsidRPr="00215251">
                        <w:rPr>
                          <w:noProof/>
                        </w:rPr>
                        <w:t xml:space="preserve"> </w:t>
                      </w:r>
                      <w:r w:rsidRPr="00215251">
                        <w:rPr>
                          <w:noProof/>
                        </w:rPr>
                        <w:drawing>
                          <wp:inline distT="0" distB="0" distL="0" distR="0" wp14:anchorId="17A77675" wp14:editId="0B677FA8">
                            <wp:extent cx="744855" cy="744855"/>
                            <wp:effectExtent l="0" t="0" r="0" b="0"/>
                            <wp:docPr id="16" name="Picture 2">
                              <a:extLst xmlns:a="http://schemas.openxmlformats.org/drawingml/2006/main">
                                <a:ext uri="{FF2B5EF4-FFF2-40B4-BE49-F238E27FC236}">
                                  <a16:creationId xmlns:a16="http://schemas.microsoft.com/office/drawing/2014/main" id="{95F50837-3306-4217-A2A2-FEC2B45D7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5F50837-3306-4217-A2A2-FEC2B45D784C}"/>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744855" cy="744855"/>
                                    </a:xfrm>
                                    <a:prstGeom prst="rect">
                                      <a:avLst/>
                                    </a:prstGeom>
                                  </pic:spPr>
                                </pic:pic>
                              </a:graphicData>
                            </a:graphic>
                          </wp:inline>
                        </w:drawing>
                      </w:r>
                      <w:r w:rsidR="00880A20">
                        <w:rPr>
                          <w:noProof/>
                        </w:rPr>
                        <w:t xml:space="preserve"> </w:t>
                      </w:r>
                      <w:r w:rsidR="00880A20">
                        <w:rPr>
                          <w:noProof/>
                        </w:rPr>
                        <w:drawing>
                          <wp:inline distT="0" distB="0" distL="0" distR="0" wp14:anchorId="61E3687B" wp14:editId="6C2C225A">
                            <wp:extent cx="1100690" cy="619125"/>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1111076" cy="624967"/>
                                    </a:xfrm>
                                    <a:prstGeom prst="rect">
                                      <a:avLst/>
                                    </a:prstGeom>
                                  </pic:spPr>
                                </pic:pic>
                              </a:graphicData>
                            </a:graphic>
                          </wp:inline>
                        </w:drawing>
                      </w:r>
                    </w:p>
                  </w:txbxContent>
                </v:textbox>
              </v:roundrect>
            </w:pict>
          </mc:Fallback>
        </mc:AlternateContent>
      </w:r>
      <w:r w:rsidR="00292ED9">
        <w:rPr>
          <w:rFonts w:ascii="Calibri"/>
          <w:noProof/>
          <w:sz w:val="4"/>
        </w:rPr>
        <mc:AlternateContent>
          <mc:Choice Requires="wpg">
            <w:drawing>
              <wp:inline distT="0" distB="0" distL="0" distR="0" wp14:anchorId="4096DD25" wp14:editId="76AE9A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4FFA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1AFD4A" w14:textId="2B0B0C08" w:rsidR="00215251" w:rsidRDefault="008756E6" w:rsidP="00880A20">
      <w:pPr>
        <w:spacing w:before="92"/>
        <w:ind w:left="270" w:right="3310"/>
        <w:rPr>
          <w:noProof/>
        </w:rPr>
      </w:pPr>
      <w:r>
        <w:rPr>
          <w:noProof/>
        </w:rPr>
        <w:drawing>
          <wp:inline distT="0" distB="0" distL="0" distR="0" wp14:anchorId="3138AC68" wp14:editId="566597AD">
            <wp:extent cx="786765" cy="7867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87051" cy="787051"/>
                    </a:xfrm>
                    <a:prstGeom prst="rect">
                      <a:avLst/>
                    </a:prstGeom>
                    <a:noFill/>
                    <a:ln>
                      <a:noFill/>
                    </a:ln>
                  </pic:spPr>
                </pic:pic>
              </a:graphicData>
            </a:graphic>
          </wp:inline>
        </w:drawing>
      </w:r>
    </w:p>
    <w:p w14:paraId="6E432B0E" w14:textId="77777777" w:rsidR="00215251" w:rsidRDefault="00215251" w:rsidP="00404E5B">
      <w:pPr>
        <w:spacing w:before="92"/>
        <w:ind w:right="4234"/>
        <w:rPr>
          <w:noProof/>
        </w:rPr>
      </w:pPr>
    </w:p>
    <w:p w14:paraId="7B74B898" w14:textId="3CE70D79" w:rsidR="00AE3E37" w:rsidRDefault="00A9710C" w:rsidP="00404E5B">
      <w:pPr>
        <w:spacing w:before="92"/>
        <w:ind w:right="4234"/>
        <w:rPr>
          <w:rFonts w:ascii="Times New Roman" w:hAnsi="Times New Roman" w:cs="Times New Roman"/>
          <w:sz w:val="24"/>
          <w:szCs w:val="24"/>
        </w:rPr>
      </w:pPr>
      <w:r>
        <w:rPr>
          <w:rFonts w:ascii="Arial"/>
          <w:color w:val="BF5A14"/>
        </w:rPr>
        <w:t>Biography</w:t>
      </w:r>
      <w:r w:rsidR="00404E5B">
        <w:rPr>
          <w:rFonts w:ascii="Arial"/>
          <w:color w:val="BF5A14"/>
        </w:rPr>
        <w:t xml:space="preserve"> </w:t>
      </w:r>
    </w:p>
    <w:p w14:paraId="4F53FBF5" w14:textId="611CB381" w:rsidR="00215251" w:rsidRPr="00A36576" w:rsidRDefault="00215251" w:rsidP="00A36576">
      <w:pPr>
        <w:spacing w:before="92"/>
        <w:ind w:right="70"/>
        <w:jc w:val="both"/>
        <w:rPr>
          <w:rFonts w:ascii="Arial" w:hAnsi="Arial" w:cs="Arial"/>
          <w:sz w:val="18"/>
          <w:szCs w:val="18"/>
        </w:rPr>
      </w:pPr>
      <w:proofErr w:type="spellStart"/>
      <w:r w:rsidRPr="00A36576">
        <w:rPr>
          <w:rFonts w:ascii="Arial" w:hAnsi="Arial" w:cs="Arial"/>
          <w:sz w:val="18"/>
          <w:szCs w:val="18"/>
        </w:rPr>
        <w:t>Arfa</w:t>
      </w:r>
      <w:proofErr w:type="spellEnd"/>
      <w:r w:rsidRPr="00A36576">
        <w:rPr>
          <w:rFonts w:ascii="Arial" w:hAnsi="Arial" w:cs="Arial"/>
          <w:sz w:val="18"/>
          <w:szCs w:val="18"/>
        </w:rPr>
        <w:t xml:space="preserve"> Abrar Malik is </w:t>
      </w:r>
      <w:r w:rsidR="00A36576">
        <w:rPr>
          <w:rFonts w:ascii="Arial" w:hAnsi="Arial" w:cs="Arial"/>
          <w:sz w:val="18"/>
          <w:szCs w:val="18"/>
        </w:rPr>
        <w:t xml:space="preserve">a </w:t>
      </w:r>
      <w:r w:rsidRPr="00A36576">
        <w:rPr>
          <w:rFonts w:ascii="Arial" w:hAnsi="Arial" w:cs="Arial"/>
          <w:sz w:val="18"/>
          <w:szCs w:val="18"/>
        </w:rPr>
        <w:t xml:space="preserve">PhD research scholar at </w:t>
      </w:r>
      <w:r w:rsidR="00A36576">
        <w:rPr>
          <w:rFonts w:ascii="Arial" w:hAnsi="Arial" w:cs="Arial"/>
          <w:sz w:val="18"/>
          <w:szCs w:val="18"/>
        </w:rPr>
        <w:t xml:space="preserve">the </w:t>
      </w:r>
      <w:r w:rsidRPr="00A36576">
        <w:rPr>
          <w:rFonts w:ascii="Arial" w:hAnsi="Arial" w:cs="Arial"/>
          <w:sz w:val="18"/>
          <w:szCs w:val="18"/>
        </w:rPr>
        <w:t>Institute of Chemistry, Chinese Academy of Science</w:t>
      </w:r>
      <w:r w:rsidR="00A36576">
        <w:rPr>
          <w:rFonts w:ascii="Arial" w:hAnsi="Arial" w:cs="Arial"/>
          <w:sz w:val="18"/>
          <w:szCs w:val="18"/>
        </w:rPr>
        <w:t xml:space="preserve"> Beijing China</w:t>
      </w:r>
      <w:r w:rsidRPr="00A36576">
        <w:rPr>
          <w:rFonts w:ascii="Arial" w:hAnsi="Arial" w:cs="Arial"/>
          <w:sz w:val="18"/>
          <w:szCs w:val="18"/>
        </w:rPr>
        <w:t xml:space="preserve">. Her research work is focused on the synthesis of transition metal complexes and </w:t>
      </w:r>
      <w:r w:rsidR="00A36576">
        <w:rPr>
          <w:rFonts w:ascii="Arial" w:hAnsi="Arial" w:cs="Arial"/>
          <w:sz w:val="18"/>
          <w:szCs w:val="18"/>
        </w:rPr>
        <w:t>the effect</w:t>
      </w:r>
      <w:r w:rsidRPr="00A36576">
        <w:rPr>
          <w:rFonts w:ascii="Arial" w:hAnsi="Arial" w:cs="Arial"/>
          <w:sz w:val="18"/>
          <w:szCs w:val="18"/>
        </w:rPr>
        <w:t xml:space="preserve"> of their activities </w:t>
      </w:r>
      <w:r w:rsidR="00A36576">
        <w:rPr>
          <w:rFonts w:ascii="Arial" w:hAnsi="Arial" w:cs="Arial"/>
          <w:sz w:val="18"/>
          <w:szCs w:val="18"/>
        </w:rPr>
        <w:t>on</w:t>
      </w:r>
      <w:r w:rsidRPr="00A36576">
        <w:rPr>
          <w:rFonts w:ascii="Arial" w:hAnsi="Arial" w:cs="Arial"/>
          <w:sz w:val="18"/>
          <w:szCs w:val="18"/>
        </w:rPr>
        <w:t xml:space="preserve"> ethylene polymerization</w:t>
      </w:r>
      <w:r w:rsidR="00A36576">
        <w:rPr>
          <w:rFonts w:ascii="Arial" w:hAnsi="Arial" w:cs="Arial"/>
          <w:sz w:val="18"/>
          <w:szCs w:val="18"/>
        </w:rPr>
        <w:t xml:space="preserve">. </w:t>
      </w:r>
      <w:r w:rsidR="00A36576" w:rsidRPr="00A36576">
        <w:rPr>
          <w:rFonts w:ascii="Arial" w:hAnsi="Arial" w:cs="Arial"/>
          <w:sz w:val="18"/>
          <w:szCs w:val="18"/>
        </w:rPr>
        <w:t xml:space="preserve">Her research focus for the duration of her </w:t>
      </w:r>
      <w:r w:rsidR="00A36576">
        <w:rPr>
          <w:rFonts w:ascii="Arial" w:hAnsi="Arial" w:cs="Arial"/>
          <w:sz w:val="18"/>
          <w:szCs w:val="18"/>
        </w:rPr>
        <w:t>Ph.D.</w:t>
      </w:r>
      <w:r w:rsidR="00A36576" w:rsidRPr="00A36576">
        <w:rPr>
          <w:rFonts w:ascii="Arial" w:hAnsi="Arial" w:cs="Arial"/>
          <w:sz w:val="18"/>
          <w:szCs w:val="18"/>
        </w:rPr>
        <w:t xml:space="preserve"> is to synthesize organometallic complexes of Iron and Cobalt and correlate her experimental results with the models/simulations, which she computed during her MS research. She also managed to successfully publish her MS research based on the simulation and models of the transition metal complexes and their enhancement as catalysts in ethylene oligo/polymerization.</w:t>
      </w:r>
      <w:r w:rsidR="00A36576">
        <w:rPr>
          <w:rFonts w:ascii="Arial" w:hAnsi="Arial" w:cs="Arial"/>
          <w:sz w:val="18"/>
          <w:szCs w:val="18"/>
        </w:rPr>
        <w:t xml:space="preserve"> Currently, she is working as an exchange researcher at the Department of Chemistry, Quaid-</w:t>
      </w:r>
      <w:proofErr w:type="spellStart"/>
      <w:r w:rsidR="00A36576">
        <w:rPr>
          <w:rFonts w:ascii="Arial" w:hAnsi="Arial" w:cs="Arial"/>
          <w:sz w:val="18"/>
          <w:szCs w:val="18"/>
        </w:rPr>
        <w:t>i</w:t>
      </w:r>
      <w:proofErr w:type="spellEnd"/>
      <w:r w:rsidR="00A36576">
        <w:rPr>
          <w:rFonts w:ascii="Arial" w:hAnsi="Arial" w:cs="Arial"/>
          <w:sz w:val="18"/>
          <w:szCs w:val="18"/>
        </w:rPr>
        <w:t xml:space="preserve">-Azam University Islamabad, Pakistan. </w:t>
      </w:r>
      <w:r w:rsidR="000259F1" w:rsidRPr="000259F1">
        <w:rPr>
          <w:rFonts w:ascii="Arial" w:hAnsi="Arial" w:cs="Arial"/>
          <w:sz w:val="18"/>
          <w:szCs w:val="18"/>
        </w:rPr>
        <w:t>Apart from her philanthropic activities,</w:t>
      </w:r>
      <w:r w:rsidR="000259F1">
        <w:rPr>
          <w:rFonts w:ascii="Arial" w:hAnsi="Arial" w:cs="Arial"/>
          <w:sz w:val="18"/>
          <w:szCs w:val="18"/>
        </w:rPr>
        <w:t xml:space="preserve"> </w:t>
      </w:r>
      <w:proofErr w:type="spellStart"/>
      <w:r w:rsidR="000259F1" w:rsidRPr="000259F1">
        <w:rPr>
          <w:rFonts w:ascii="Arial" w:hAnsi="Arial" w:cs="Arial"/>
          <w:sz w:val="18"/>
          <w:szCs w:val="18"/>
        </w:rPr>
        <w:t>Arfa</w:t>
      </w:r>
      <w:proofErr w:type="spellEnd"/>
      <w:r w:rsidR="000259F1" w:rsidRPr="000259F1">
        <w:rPr>
          <w:rFonts w:ascii="Arial" w:hAnsi="Arial" w:cs="Arial"/>
          <w:sz w:val="18"/>
          <w:szCs w:val="18"/>
        </w:rPr>
        <w:t xml:space="preserve"> is </w:t>
      </w:r>
      <w:r w:rsidR="000259F1">
        <w:rPr>
          <w:rFonts w:ascii="Arial" w:hAnsi="Arial" w:cs="Arial"/>
          <w:sz w:val="18"/>
          <w:szCs w:val="18"/>
        </w:rPr>
        <w:t xml:space="preserve">Co-Founder at </w:t>
      </w:r>
      <w:proofErr w:type="spellStart"/>
      <w:r w:rsidR="000259F1">
        <w:rPr>
          <w:rFonts w:ascii="Arial" w:hAnsi="Arial" w:cs="Arial"/>
          <w:sz w:val="18"/>
          <w:szCs w:val="18"/>
        </w:rPr>
        <w:t>WEmpower</w:t>
      </w:r>
      <w:proofErr w:type="spellEnd"/>
      <w:r w:rsidR="000259F1">
        <w:rPr>
          <w:rFonts w:ascii="Arial" w:hAnsi="Arial" w:cs="Arial"/>
          <w:sz w:val="18"/>
          <w:szCs w:val="18"/>
        </w:rPr>
        <w:t xml:space="preserve"> Pakistan and also </w:t>
      </w:r>
      <w:r w:rsidR="000259F1" w:rsidRPr="000259F1">
        <w:rPr>
          <w:rFonts w:ascii="Arial" w:hAnsi="Arial" w:cs="Arial"/>
          <w:sz w:val="18"/>
          <w:szCs w:val="18"/>
        </w:rPr>
        <w:t xml:space="preserve">affiliated with </w:t>
      </w:r>
      <w:r w:rsidR="000259F1">
        <w:rPr>
          <w:rFonts w:ascii="Arial" w:hAnsi="Arial" w:cs="Arial"/>
          <w:sz w:val="18"/>
          <w:szCs w:val="18"/>
        </w:rPr>
        <w:t>this international non-profit organization</w:t>
      </w:r>
      <w:r w:rsidR="000259F1" w:rsidRPr="000259F1">
        <w:rPr>
          <w:rFonts w:ascii="Arial" w:hAnsi="Arial" w:cs="Arial"/>
          <w:sz w:val="18"/>
          <w:szCs w:val="18"/>
        </w:rPr>
        <w:t xml:space="preserve"> as the Chief Information Officer and works towards bridging the gap between competent students and academia. She advises students regarding their PhD applications and scholarships.</w:t>
      </w:r>
    </w:p>
    <w:p w14:paraId="2A9E32E9" w14:textId="251F4A3C" w:rsidR="00AE3E37" w:rsidRPr="000259F1" w:rsidRDefault="00A9710C" w:rsidP="000259F1">
      <w:pPr>
        <w:spacing w:before="62"/>
        <w:ind w:left="4140" w:right="3760"/>
        <w:jc w:val="center"/>
        <w:rPr>
          <w:rFonts w:ascii="Arial"/>
          <w:sz w:val="18"/>
          <w:szCs w:val="18"/>
        </w:rPr>
      </w:pPr>
      <w:proofErr w:type="spellStart"/>
      <w:proofErr w:type="gramStart"/>
      <w:r w:rsidRPr="000259F1">
        <w:rPr>
          <w:rFonts w:ascii="Arial"/>
          <w:sz w:val="18"/>
          <w:szCs w:val="18"/>
        </w:rPr>
        <w:t>Email:</w:t>
      </w:r>
      <w:r w:rsidR="00A70C17" w:rsidRPr="000259F1">
        <w:rPr>
          <w:rFonts w:ascii="Arial"/>
          <w:sz w:val="18"/>
          <w:szCs w:val="18"/>
        </w:rPr>
        <w:t>arfamalik@iccas.ac.cn</w:t>
      </w:r>
      <w:proofErr w:type="spellEnd"/>
      <w:proofErr w:type="gramEnd"/>
    </w:p>
    <w:p w14:paraId="3C6FA8A1" w14:textId="061115C2" w:rsidR="000259F1" w:rsidRPr="000259F1" w:rsidRDefault="000259F1" w:rsidP="000259F1">
      <w:pPr>
        <w:spacing w:before="62"/>
        <w:ind w:left="4140" w:right="3760"/>
        <w:jc w:val="center"/>
        <w:rPr>
          <w:rFonts w:ascii="Arial"/>
          <w:sz w:val="18"/>
          <w:szCs w:val="18"/>
        </w:rPr>
      </w:pPr>
      <w:r w:rsidRPr="000259F1">
        <w:rPr>
          <w:rFonts w:ascii="Arial"/>
          <w:sz w:val="18"/>
          <w:szCs w:val="18"/>
        </w:rPr>
        <w:t>arfamalik@wempowerpakistan.org</w:t>
      </w:r>
    </w:p>
    <w:p w14:paraId="3A3B3125" w14:textId="613B47D4" w:rsidR="000259F1" w:rsidRPr="000259F1" w:rsidRDefault="000259F1" w:rsidP="000259F1">
      <w:pPr>
        <w:pStyle w:val="BodyText"/>
        <w:spacing w:before="2"/>
        <w:ind w:left="4140" w:right="3760"/>
        <w:jc w:val="center"/>
        <w:rPr>
          <w:rFonts w:ascii="Arial"/>
          <w:color w:val="0070C0"/>
        </w:rPr>
      </w:pPr>
      <w:r w:rsidRPr="000259F1">
        <w:rPr>
          <w:rFonts w:ascii="Arial"/>
          <w:color w:val="0070C0"/>
        </w:rPr>
        <w:t>https://wempowerpakistan.org/arfa-abrar-malik/</w:t>
      </w:r>
    </w:p>
    <w:p w14:paraId="12983303" w14:textId="06FCA00B" w:rsidR="00AE3E37" w:rsidRPr="00880A20" w:rsidRDefault="00292ED9" w:rsidP="00880A20">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D9082E1" wp14:editId="2BF9E66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F49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3E9B129" w14:textId="77777777" w:rsidR="00AE3E37" w:rsidRDefault="00A9710C" w:rsidP="00E43524">
      <w:pPr>
        <w:spacing w:before="39"/>
        <w:ind w:left="-90"/>
        <w:rPr>
          <w:rFonts w:ascii="Minion Pro"/>
          <w:b/>
          <w:sz w:val="20"/>
        </w:rPr>
      </w:pPr>
      <w:r w:rsidRPr="00B21A57">
        <w:rPr>
          <w:rFonts w:ascii="Minion Pro"/>
          <w:b/>
          <w:sz w:val="20"/>
        </w:rPr>
        <w:t>Notes/Comments:</w:t>
      </w:r>
    </w:p>
    <w:p w14:paraId="673E5F23" w14:textId="4D8C4A3B" w:rsidR="00EA7D51" w:rsidRPr="00E43524" w:rsidRDefault="00880A20" w:rsidP="00E43524">
      <w:pPr>
        <w:spacing w:before="39"/>
        <w:ind w:left="-90"/>
        <w:rPr>
          <w:rFonts w:ascii="Minion Pro"/>
          <w:bCs/>
          <w:sz w:val="20"/>
        </w:rPr>
      </w:pPr>
      <w:proofErr w:type="spellStart"/>
      <w:r w:rsidRPr="00E43524">
        <w:rPr>
          <w:rFonts w:ascii="Minion Pro"/>
          <w:bCs/>
          <w:sz w:val="20"/>
        </w:rPr>
        <w:t>Arfa</w:t>
      </w:r>
      <w:proofErr w:type="spellEnd"/>
      <w:r w:rsidRPr="00E43524">
        <w:rPr>
          <w:rFonts w:ascii="Minion Pro"/>
          <w:bCs/>
          <w:sz w:val="20"/>
        </w:rPr>
        <w:t xml:space="preserve"> Abrar Malik is going</w:t>
      </w:r>
      <w:r w:rsidR="00E43524" w:rsidRPr="00E43524">
        <w:rPr>
          <w:rFonts w:ascii="Minion Pro"/>
          <w:bCs/>
          <w:sz w:val="20"/>
        </w:rPr>
        <w:t xml:space="preserve"> </w:t>
      </w:r>
      <w:r w:rsidRPr="00E43524">
        <w:rPr>
          <w:rFonts w:ascii="Minion Pro"/>
          <w:bCs/>
          <w:sz w:val="20"/>
        </w:rPr>
        <w:t xml:space="preserve">to defend her </w:t>
      </w:r>
      <w:proofErr w:type="spellStart"/>
      <w:proofErr w:type="gramStart"/>
      <w:r w:rsidRPr="00E43524">
        <w:rPr>
          <w:rFonts w:ascii="Minion Pro"/>
          <w:bCs/>
          <w:sz w:val="20"/>
        </w:rPr>
        <w:t>Ph.D</w:t>
      </w:r>
      <w:proofErr w:type="spellEnd"/>
      <w:proofErr w:type="gramEnd"/>
      <w:r w:rsidRPr="00E43524">
        <w:rPr>
          <w:rFonts w:ascii="Minion Pro"/>
          <w:bCs/>
          <w:sz w:val="20"/>
        </w:rPr>
        <w:t xml:space="preserve"> in this summer</w:t>
      </w:r>
      <w:r w:rsidR="003D7AE4">
        <w:rPr>
          <w:rFonts w:ascii="Minion Pro"/>
          <w:bCs/>
          <w:sz w:val="20"/>
        </w:rPr>
        <w:t xml:space="preserve"> 2022.</w:t>
      </w:r>
    </w:p>
    <w:p w14:paraId="7E98A8D8" w14:textId="514D2260" w:rsidR="00880A20" w:rsidRPr="00E43524" w:rsidRDefault="00880A20" w:rsidP="00E43524">
      <w:pPr>
        <w:spacing w:before="39"/>
        <w:ind w:left="-90"/>
        <w:rPr>
          <w:rFonts w:ascii="Minion Pro"/>
          <w:bCs/>
          <w:sz w:val="20"/>
        </w:rPr>
      </w:pPr>
      <w:r w:rsidRPr="00E43524">
        <w:rPr>
          <w:rFonts w:ascii="Minion Pro"/>
          <w:bCs/>
          <w:sz w:val="20"/>
        </w:rPr>
        <w:t>Her collaborative papers on computational and experimental</w:t>
      </w:r>
      <w:r w:rsidR="00E43524" w:rsidRPr="00E43524">
        <w:rPr>
          <w:rFonts w:ascii="Minion Pro"/>
          <w:bCs/>
          <w:sz w:val="20"/>
        </w:rPr>
        <w:t xml:space="preserve"> are going </w:t>
      </w:r>
      <w:r w:rsidRPr="00E43524">
        <w:rPr>
          <w:rFonts w:ascii="Minion Pro"/>
          <w:bCs/>
          <w:sz w:val="20"/>
        </w:rPr>
        <w:t>to be published soon which are under process.</w:t>
      </w:r>
    </w:p>
    <w:p w14:paraId="5ED4BB9F" w14:textId="77777777" w:rsidR="00EA7D51" w:rsidRDefault="00EA7D51" w:rsidP="003D7AE4">
      <w:pPr>
        <w:spacing w:before="39"/>
        <w:ind w:left="-180"/>
        <w:rPr>
          <w:rFonts w:ascii="Minion Pro"/>
          <w:b/>
          <w:sz w:val="20"/>
        </w:rPr>
      </w:pPr>
    </w:p>
    <w:p w14:paraId="222EB0E9" w14:textId="6227626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9F0D21">
        <w:rPr>
          <w:sz w:val="20"/>
          <w:szCs w:val="20"/>
          <w:lang w:val="en-NZ"/>
        </w:rPr>
        <w:t>Arfa</w:t>
      </w:r>
      <w:proofErr w:type="spellEnd"/>
      <w:r w:rsidR="009F0D21">
        <w:rPr>
          <w:sz w:val="20"/>
          <w:szCs w:val="20"/>
          <w:lang w:val="en-NZ"/>
        </w:rPr>
        <w:t xml:space="preserve"> Abrar Malik</w:t>
      </w:r>
      <w:r w:rsidRPr="00F35A62">
        <w:rPr>
          <w:sz w:val="20"/>
          <w:szCs w:val="20"/>
          <w:lang w:val="en-NZ"/>
        </w:rPr>
        <w:br/>
        <w:t xml:space="preserve">Contact </w:t>
      </w:r>
      <w:proofErr w:type="gramStart"/>
      <w:r w:rsidRPr="00F35A62">
        <w:rPr>
          <w:sz w:val="20"/>
          <w:szCs w:val="20"/>
          <w:lang w:val="en-NZ"/>
        </w:rPr>
        <w:t>number:</w:t>
      </w:r>
      <w:r w:rsidR="009F0D21">
        <w:rPr>
          <w:sz w:val="20"/>
          <w:szCs w:val="20"/>
          <w:lang w:val="en-NZ"/>
        </w:rPr>
        <w:t>+</w:t>
      </w:r>
      <w:proofErr w:type="gramEnd"/>
      <w:r w:rsidR="009F0D21">
        <w:rPr>
          <w:sz w:val="20"/>
          <w:szCs w:val="20"/>
          <w:lang w:val="en-NZ"/>
        </w:rPr>
        <w:t>8615501190388</w:t>
      </w:r>
      <w:r w:rsidRPr="00F35A62">
        <w:rPr>
          <w:sz w:val="20"/>
          <w:szCs w:val="20"/>
          <w:lang w:val="en-NZ"/>
        </w:rPr>
        <w:br/>
        <w:t xml:space="preserve">Twitter </w:t>
      </w:r>
      <w:proofErr w:type="spellStart"/>
      <w:r w:rsidRPr="00F35A62">
        <w:rPr>
          <w:sz w:val="20"/>
          <w:szCs w:val="20"/>
          <w:lang w:val="en-NZ"/>
        </w:rPr>
        <w:t>account:</w:t>
      </w:r>
      <w:r w:rsidR="009F0D21">
        <w:rPr>
          <w:sz w:val="20"/>
          <w:szCs w:val="20"/>
          <w:lang w:val="en-NZ"/>
        </w:rPr>
        <w:t>ArfaAbrar</w:t>
      </w:r>
      <w:proofErr w:type="spellEnd"/>
      <w:r w:rsidRPr="00F35A62">
        <w:rPr>
          <w:sz w:val="20"/>
          <w:szCs w:val="20"/>
          <w:lang w:val="en-NZ"/>
        </w:rPr>
        <w:br/>
        <w:t>Linked In account:</w:t>
      </w:r>
      <w:r w:rsidR="009F0D21">
        <w:rPr>
          <w:sz w:val="20"/>
          <w:szCs w:val="20"/>
          <w:lang w:val="en-NZ"/>
        </w:rPr>
        <w:t xml:space="preserve"> </w:t>
      </w:r>
      <w:proofErr w:type="spellStart"/>
      <w:r w:rsidR="009F0D21">
        <w:rPr>
          <w:sz w:val="20"/>
          <w:szCs w:val="20"/>
          <w:lang w:val="en-NZ"/>
        </w:rPr>
        <w:t>Arfa</w:t>
      </w:r>
      <w:proofErr w:type="spellEnd"/>
      <w:r w:rsidR="009F0D21">
        <w:rPr>
          <w:sz w:val="20"/>
          <w:szCs w:val="20"/>
          <w:lang w:val="en-NZ"/>
        </w:rPr>
        <w:t xml:space="preserve"> Abrar Malik</w:t>
      </w:r>
    </w:p>
    <w:p w14:paraId="74458E91" w14:textId="68787AB1" w:rsidR="00EA7D51" w:rsidRPr="009F0D21" w:rsidRDefault="00EA7D51" w:rsidP="00EA7D51">
      <w:pPr>
        <w:autoSpaceDE w:val="0"/>
        <w:autoSpaceDN w:val="0"/>
        <w:adjustRightInd w:val="0"/>
        <w:rPr>
          <w:b/>
          <w:bCs/>
          <w:sz w:val="20"/>
          <w:szCs w:val="20"/>
          <w:lang w:val="en-NZ"/>
        </w:rPr>
      </w:pPr>
      <w:r w:rsidRPr="00F35A62">
        <w:rPr>
          <w:sz w:val="20"/>
          <w:szCs w:val="20"/>
          <w:lang w:val="en-NZ"/>
        </w:rPr>
        <w:t xml:space="preserve">Session name/ number: </w:t>
      </w:r>
      <w:r w:rsidR="00E43524">
        <w:rPr>
          <w:sz w:val="20"/>
          <w:szCs w:val="20"/>
          <w:lang w:val="en-NZ"/>
        </w:rPr>
        <w:t xml:space="preserve"> Polymer</w:t>
      </w:r>
      <w:r w:rsidR="00E359E2">
        <w:rPr>
          <w:sz w:val="20"/>
          <w:szCs w:val="20"/>
          <w:lang w:val="en-NZ"/>
        </w:rPr>
        <w:t xml:space="preserve"> Chemistry</w:t>
      </w:r>
      <w:r w:rsidRPr="00F35A62">
        <w:rPr>
          <w:sz w:val="20"/>
          <w:szCs w:val="20"/>
          <w:lang w:val="en-NZ"/>
        </w:rPr>
        <w:br/>
        <w:t>Category: Oral presentation</w:t>
      </w:r>
      <w:r w:rsidRPr="009F0D21">
        <w:rPr>
          <w:b/>
          <w:bCs/>
          <w:sz w:val="20"/>
          <w:szCs w:val="20"/>
          <w:lang w:val="en-NZ"/>
        </w:rPr>
        <w:br/>
      </w:r>
    </w:p>
    <w:p w14:paraId="2B7B4C29"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425818F"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FA2A1" w14:textId="77777777" w:rsidR="00200D13" w:rsidRDefault="00200D13">
      <w:r>
        <w:separator/>
      </w:r>
    </w:p>
  </w:endnote>
  <w:endnote w:type="continuationSeparator" w:id="0">
    <w:p w14:paraId="7B9F43C7" w14:textId="77777777" w:rsidR="00200D13" w:rsidRDefault="00200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C43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316A6C" wp14:editId="77CC9D5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6FA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A2BB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16A6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8B6FA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A2BB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FBD8A17" wp14:editId="2567931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CB2C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E3CED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D8A1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17CB2C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E3CED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1818649" wp14:editId="31095E3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4A5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2B30E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1864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064A5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2B30E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1FD33" w14:textId="77777777" w:rsidR="00200D13" w:rsidRDefault="00200D13">
      <w:r>
        <w:separator/>
      </w:r>
    </w:p>
  </w:footnote>
  <w:footnote w:type="continuationSeparator" w:id="0">
    <w:p w14:paraId="5382C5D5" w14:textId="77777777" w:rsidR="00200D13" w:rsidRDefault="00200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7919F7"/>
    <w:multiLevelType w:val="hybridMultilevel"/>
    <w:tmpl w:val="8D5EB49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59F1"/>
    <w:rsid w:val="000534A1"/>
    <w:rsid w:val="0006797A"/>
    <w:rsid w:val="000B4CAA"/>
    <w:rsid w:val="000E2911"/>
    <w:rsid w:val="00106836"/>
    <w:rsid w:val="00117C81"/>
    <w:rsid w:val="001263DF"/>
    <w:rsid w:val="00200D13"/>
    <w:rsid w:val="00213689"/>
    <w:rsid w:val="00215251"/>
    <w:rsid w:val="00292ED9"/>
    <w:rsid w:val="00330BBA"/>
    <w:rsid w:val="00351D9B"/>
    <w:rsid w:val="00380299"/>
    <w:rsid w:val="003D7AE4"/>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80A20"/>
    <w:rsid w:val="00897EC5"/>
    <w:rsid w:val="008A0763"/>
    <w:rsid w:val="008E5477"/>
    <w:rsid w:val="009A6D3E"/>
    <w:rsid w:val="009B2D44"/>
    <w:rsid w:val="009F0D21"/>
    <w:rsid w:val="00A07E82"/>
    <w:rsid w:val="00A36576"/>
    <w:rsid w:val="00A52075"/>
    <w:rsid w:val="00A65A4A"/>
    <w:rsid w:val="00A70C17"/>
    <w:rsid w:val="00A9710C"/>
    <w:rsid w:val="00AE3E37"/>
    <w:rsid w:val="00B21A57"/>
    <w:rsid w:val="00BE6743"/>
    <w:rsid w:val="00C33602"/>
    <w:rsid w:val="00C56C74"/>
    <w:rsid w:val="00CD6F55"/>
    <w:rsid w:val="00DE3104"/>
    <w:rsid w:val="00DE6170"/>
    <w:rsid w:val="00E30AAC"/>
    <w:rsid w:val="00E359E2"/>
    <w:rsid w:val="00E43524"/>
    <w:rsid w:val="00E95D97"/>
    <w:rsid w:val="00EA7D51"/>
    <w:rsid w:val="00F046EA"/>
    <w:rsid w:val="00F312EA"/>
    <w:rsid w:val="00F35A62"/>
    <w:rsid w:val="00F379F8"/>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CC318"/>
  <w15:docId w15:val="{4B6CA502-6F99-4934-B5F1-D0F02DB4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9878927">
      <w:bodyDiv w:val="1"/>
      <w:marLeft w:val="0"/>
      <w:marRight w:val="0"/>
      <w:marTop w:val="0"/>
      <w:marBottom w:val="0"/>
      <w:divBdr>
        <w:top w:val="none" w:sz="0" w:space="0" w:color="auto"/>
        <w:left w:val="none" w:sz="0" w:space="0" w:color="auto"/>
        <w:bottom w:val="none" w:sz="0" w:space="0" w:color="auto"/>
        <w:right w:val="none" w:sz="0" w:space="0" w:color="auto"/>
      </w:divBdr>
    </w:div>
    <w:div w:id="13874911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13</cp:revision>
  <dcterms:created xsi:type="dcterms:W3CDTF">2021-11-26T09:13:00Z</dcterms:created>
  <dcterms:modified xsi:type="dcterms:W3CDTF">2022-01-27T05:27:00Z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