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032949" w14:textId="77777777" w:rsidR="00C15D00" w:rsidRDefault="00C15D00" w:rsidP="00C15D00">
      <w:pPr>
        <w:spacing w:after="0" w:line="240" w:lineRule="auto"/>
        <w:jc w:val="center"/>
        <w:rPr>
          <w:rFonts w:ascii="Times New Roman" w:hAnsi="Times New Roman" w:cs="Times New Roman"/>
          <w:b/>
          <w:sz w:val="24"/>
          <w:szCs w:val="24"/>
          <w:u w:val="single"/>
        </w:rPr>
      </w:pPr>
    </w:p>
    <w:p w14:paraId="76E60BD6" w14:textId="45B5D259" w:rsidR="00C15D00" w:rsidRDefault="00C15D00" w:rsidP="00C15D00">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ZIRCONIA CROWNS: A PARADIGM SHIFT IN PEDIATRIC ESTHETHIC CROWNS</w:t>
      </w:r>
    </w:p>
    <w:p w14:paraId="0F1379D7" w14:textId="77777777" w:rsidR="00C15D00" w:rsidRDefault="00C15D00" w:rsidP="003B1CF0">
      <w:pPr>
        <w:spacing w:after="0" w:line="240" w:lineRule="auto"/>
        <w:jc w:val="center"/>
        <w:rPr>
          <w:rFonts w:ascii="Times New Roman" w:hAnsi="Times New Roman" w:cs="Times New Roman"/>
          <w:b/>
          <w:sz w:val="24"/>
          <w:szCs w:val="24"/>
          <w:u w:val="single"/>
        </w:rPr>
      </w:pPr>
    </w:p>
    <w:p w14:paraId="228E0A75" w14:textId="679E213E" w:rsidR="00C15D00" w:rsidRDefault="00C15D00" w:rsidP="003B1CF0">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Abstract</w:t>
      </w:r>
    </w:p>
    <w:p w14:paraId="386E3C1D" w14:textId="7804F049" w:rsidR="00C15D00" w:rsidRDefault="00C15D00" w:rsidP="00C15D00">
      <w:pPr>
        <w:spacing w:after="0" w:line="240" w:lineRule="auto"/>
        <w:rPr>
          <w:rFonts w:ascii="Times New Roman" w:hAnsi="Times New Roman" w:cs="Times New Roman"/>
          <w:b/>
          <w:sz w:val="24"/>
          <w:szCs w:val="24"/>
          <w:u w:val="single"/>
        </w:rPr>
      </w:pPr>
    </w:p>
    <w:p w14:paraId="708312DC" w14:textId="77777777" w:rsidR="00C15D00" w:rsidRDefault="00C15D00" w:rsidP="00C15D00">
      <w:pPr>
        <w:spacing w:after="0" w:line="240" w:lineRule="auto"/>
        <w:rPr>
          <w:rFonts w:ascii="Times New Roman" w:hAnsi="Times New Roman" w:cs="Times New Roman"/>
          <w:b/>
          <w:sz w:val="24"/>
          <w:szCs w:val="24"/>
          <w:u w:val="single"/>
        </w:rPr>
      </w:pPr>
    </w:p>
    <w:p w14:paraId="6BC87EF3" w14:textId="77777777" w:rsidR="00C15D00" w:rsidRPr="00C15D00" w:rsidRDefault="00C15D00" w:rsidP="00C15D00">
      <w:pPr>
        <w:spacing w:after="0" w:line="480" w:lineRule="auto"/>
        <w:jc w:val="both"/>
        <w:rPr>
          <w:rFonts w:ascii="Times New Roman" w:hAnsi="Times New Roman" w:cs="Times New Roman"/>
          <w:b/>
          <w:sz w:val="24"/>
          <w:szCs w:val="24"/>
          <w:u w:val="single"/>
        </w:rPr>
      </w:pPr>
    </w:p>
    <w:p w14:paraId="77A782CB" w14:textId="14849334" w:rsidR="00C15D00" w:rsidRDefault="00C15D00" w:rsidP="00C15D00">
      <w:pPr>
        <w:spacing w:after="0" w:line="480" w:lineRule="auto"/>
        <w:ind w:firstLine="720"/>
        <w:jc w:val="both"/>
        <w:rPr>
          <w:rFonts w:ascii="Times New Roman" w:hAnsi="Times New Roman" w:cs="Times New Roman"/>
          <w:color w:val="666666"/>
          <w:sz w:val="24"/>
          <w:szCs w:val="24"/>
          <w:shd w:val="clear" w:color="auto" w:fill="FFFFFF"/>
        </w:rPr>
      </w:pPr>
      <w:r w:rsidRPr="00C15D00">
        <w:rPr>
          <w:rFonts w:ascii="Times New Roman" w:hAnsi="Times New Roman" w:cs="Times New Roman"/>
          <w:color w:val="666666"/>
          <w:sz w:val="24"/>
          <w:szCs w:val="24"/>
          <w:shd w:val="clear" w:color="auto" w:fill="FFFFFF"/>
        </w:rPr>
        <w:t>Traditionally, many clinicians tend to forego esthetic considerations when full-coverage restorations are indicated for pediatric patients with primary dentitions. However, the availability of new zirconia pediatric crowns and reliable techniques for cementation makes esthetic outcomes practical and consistent when restoring primary dentition.</w:t>
      </w:r>
    </w:p>
    <w:p w14:paraId="3D0FECB6" w14:textId="1D91CA0E" w:rsidR="00C15D00" w:rsidRPr="00C15D00" w:rsidRDefault="00C15D00" w:rsidP="00C15D00">
      <w:pPr>
        <w:spacing w:after="0" w:line="480" w:lineRule="auto"/>
        <w:ind w:firstLine="720"/>
        <w:jc w:val="both"/>
        <w:rPr>
          <w:rFonts w:ascii="Times New Roman" w:hAnsi="Times New Roman" w:cs="Times New Roman"/>
          <w:b/>
          <w:sz w:val="24"/>
          <w:szCs w:val="24"/>
          <w:u w:val="single"/>
        </w:rPr>
      </w:pPr>
      <w:r>
        <w:rPr>
          <w:rFonts w:ascii="Times New Roman" w:hAnsi="Times New Roman" w:cs="Times New Roman"/>
          <w:color w:val="666666"/>
          <w:sz w:val="24"/>
          <w:szCs w:val="24"/>
          <w:shd w:val="clear" w:color="auto" w:fill="FFFFFF"/>
        </w:rPr>
        <w:t>The present paper helps us to understand the steps in tooth preparation to receive zirconia crowns as well as tips and tricks to enhance its retention.</w:t>
      </w:r>
    </w:p>
    <w:p w14:paraId="0408331B" w14:textId="77777777" w:rsidR="00C15D00" w:rsidRDefault="00C15D00" w:rsidP="003B1CF0">
      <w:pPr>
        <w:spacing w:after="0" w:line="240" w:lineRule="auto"/>
        <w:jc w:val="center"/>
        <w:rPr>
          <w:rFonts w:ascii="Times New Roman" w:hAnsi="Times New Roman" w:cs="Times New Roman"/>
          <w:b/>
          <w:sz w:val="24"/>
          <w:szCs w:val="24"/>
          <w:u w:val="single"/>
        </w:rPr>
      </w:pPr>
    </w:p>
    <w:p w14:paraId="2FC6C567" w14:textId="77777777" w:rsidR="00C15D00" w:rsidRDefault="00C15D00" w:rsidP="003B1CF0">
      <w:pPr>
        <w:spacing w:after="0" w:line="240" w:lineRule="auto"/>
        <w:jc w:val="center"/>
        <w:rPr>
          <w:rFonts w:ascii="Times New Roman" w:hAnsi="Times New Roman" w:cs="Times New Roman"/>
          <w:b/>
          <w:sz w:val="24"/>
          <w:szCs w:val="24"/>
          <w:u w:val="single"/>
        </w:rPr>
      </w:pPr>
    </w:p>
    <w:p w14:paraId="627041C5" w14:textId="77777777" w:rsidR="00C15D00" w:rsidRDefault="00C15D00" w:rsidP="003B1CF0">
      <w:pPr>
        <w:spacing w:after="0" w:line="240" w:lineRule="auto"/>
        <w:jc w:val="center"/>
        <w:rPr>
          <w:rFonts w:ascii="Times New Roman" w:hAnsi="Times New Roman" w:cs="Times New Roman"/>
          <w:b/>
          <w:sz w:val="24"/>
          <w:szCs w:val="24"/>
          <w:u w:val="single"/>
        </w:rPr>
      </w:pPr>
    </w:p>
    <w:p w14:paraId="70AEC5EE" w14:textId="77777777" w:rsidR="00C15D00" w:rsidRDefault="00C15D00" w:rsidP="003B1CF0">
      <w:pPr>
        <w:spacing w:after="0" w:line="240" w:lineRule="auto"/>
        <w:jc w:val="center"/>
        <w:rPr>
          <w:rFonts w:ascii="Times New Roman" w:hAnsi="Times New Roman" w:cs="Times New Roman"/>
          <w:b/>
          <w:sz w:val="24"/>
          <w:szCs w:val="24"/>
          <w:u w:val="single"/>
        </w:rPr>
      </w:pPr>
    </w:p>
    <w:p w14:paraId="2BFCB115" w14:textId="77777777" w:rsidR="00C15D00" w:rsidRDefault="00C15D00" w:rsidP="003B1CF0">
      <w:pPr>
        <w:spacing w:after="0" w:line="240" w:lineRule="auto"/>
        <w:jc w:val="center"/>
        <w:rPr>
          <w:rFonts w:ascii="Times New Roman" w:hAnsi="Times New Roman" w:cs="Times New Roman"/>
          <w:b/>
          <w:sz w:val="24"/>
          <w:szCs w:val="24"/>
          <w:u w:val="single"/>
        </w:rPr>
      </w:pPr>
    </w:p>
    <w:p w14:paraId="74024A1D" w14:textId="77777777" w:rsidR="00C15D00" w:rsidRDefault="00C15D00" w:rsidP="003B1CF0">
      <w:pPr>
        <w:spacing w:after="0" w:line="240" w:lineRule="auto"/>
        <w:jc w:val="center"/>
        <w:rPr>
          <w:rFonts w:ascii="Times New Roman" w:hAnsi="Times New Roman" w:cs="Times New Roman"/>
          <w:b/>
          <w:sz w:val="24"/>
          <w:szCs w:val="24"/>
          <w:u w:val="single"/>
        </w:rPr>
      </w:pPr>
    </w:p>
    <w:p w14:paraId="7BC6E683" w14:textId="77777777" w:rsidR="00C15D00" w:rsidRDefault="00C15D00" w:rsidP="003B1CF0">
      <w:pPr>
        <w:spacing w:after="0" w:line="240" w:lineRule="auto"/>
        <w:jc w:val="center"/>
        <w:rPr>
          <w:rFonts w:ascii="Times New Roman" w:hAnsi="Times New Roman" w:cs="Times New Roman"/>
          <w:b/>
          <w:sz w:val="24"/>
          <w:szCs w:val="24"/>
          <w:u w:val="single"/>
        </w:rPr>
      </w:pPr>
    </w:p>
    <w:p w14:paraId="6FA4E7E6" w14:textId="77777777" w:rsidR="00C15D00" w:rsidRDefault="00C15D00" w:rsidP="003B1CF0">
      <w:pPr>
        <w:spacing w:after="0" w:line="240" w:lineRule="auto"/>
        <w:jc w:val="center"/>
        <w:rPr>
          <w:rFonts w:ascii="Times New Roman" w:hAnsi="Times New Roman" w:cs="Times New Roman"/>
          <w:b/>
          <w:sz w:val="24"/>
          <w:szCs w:val="24"/>
          <w:u w:val="single"/>
        </w:rPr>
      </w:pPr>
    </w:p>
    <w:p w14:paraId="47F99415" w14:textId="77777777" w:rsidR="00C15D00" w:rsidRDefault="00C15D00" w:rsidP="003B1CF0">
      <w:pPr>
        <w:spacing w:after="0" w:line="240" w:lineRule="auto"/>
        <w:jc w:val="center"/>
        <w:rPr>
          <w:rFonts w:ascii="Times New Roman" w:hAnsi="Times New Roman" w:cs="Times New Roman"/>
          <w:b/>
          <w:sz w:val="24"/>
          <w:szCs w:val="24"/>
          <w:u w:val="single"/>
        </w:rPr>
      </w:pPr>
    </w:p>
    <w:p w14:paraId="003B4D31" w14:textId="77777777" w:rsidR="00C15D00" w:rsidRDefault="00C15D00" w:rsidP="003B1CF0">
      <w:pPr>
        <w:spacing w:after="0" w:line="240" w:lineRule="auto"/>
        <w:jc w:val="center"/>
        <w:rPr>
          <w:rFonts w:ascii="Times New Roman" w:hAnsi="Times New Roman" w:cs="Times New Roman"/>
          <w:b/>
          <w:sz w:val="24"/>
          <w:szCs w:val="24"/>
          <w:u w:val="single"/>
        </w:rPr>
      </w:pPr>
    </w:p>
    <w:p w14:paraId="547EEBE0" w14:textId="4CB2BE4C" w:rsidR="003B1CF0" w:rsidRPr="003D0497" w:rsidRDefault="003B1CF0" w:rsidP="003B1CF0">
      <w:pPr>
        <w:spacing w:after="0" w:line="240" w:lineRule="auto"/>
        <w:jc w:val="center"/>
        <w:rPr>
          <w:rFonts w:ascii="Times New Roman" w:hAnsi="Times New Roman" w:cs="Times New Roman"/>
          <w:b/>
          <w:sz w:val="24"/>
          <w:szCs w:val="24"/>
        </w:rPr>
      </w:pPr>
      <w:r w:rsidRPr="00606912">
        <w:rPr>
          <w:rFonts w:ascii="Times New Roman" w:hAnsi="Times New Roman" w:cs="Times New Roman"/>
          <w:b/>
          <w:sz w:val="24"/>
          <w:szCs w:val="24"/>
          <w:u w:val="single"/>
        </w:rPr>
        <w:t>BIOGRAPHY</w:t>
      </w:r>
    </w:p>
    <w:p w14:paraId="189CA92F" w14:textId="0FB2AC0B" w:rsidR="003B1CF0" w:rsidRDefault="003B1CF0" w:rsidP="003B1CF0">
      <w:pPr>
        <w:jc w:val="both"/>
      </w:pPr>
    </w:p>
    <w:p w14:paraId="74BD2D92" w14:textId="77777777" w:rsidR="003B1CF0" w:rsidRDefault="003B1CF0" w:rsidP="003B1CF0">
      <w:pPr>
        <w:jc w:val="both"/>
      </w:pPr>
    </w:p>
    <w:p w14:paraId="035A18BB" w14:textId="41DE5C49" w:rsidR="003B1CF0" w:rsidRDefault="003B1CF0" w:rsidP="003B1CF0">
      <w:pPr>
        <w:spacing w:line="480" w:lineRule="auto"/>
        <w:jc w:val="both"/>
      </w:pPr>
      <w:r>
        <w:t>Dr Viral Pravin Maru is a renowned pediatric dentist, practicing in Mumbai, Maharashtra, India since 2007. He is currently pursuing PhD in the same subject from D Y Patil School of Dentistry, Navi Mumbai. He has been working in the field of stem cell research since 2015 extensively. He has many national and international publication to his credit. At present he holds the prestigious post of associate professor in one of the renowned educational institution. He has a personal interest in stem cell research applied to pediatric dentistry.</w:t>
      </w:r>
    </w:p>
    <w:p w14:paraId="7664D058" w14:textId="77777777" w:rsidR="0062594A" w:rsidRDefault="0062594A" w:rsidP="0062594A">
      <w:pPr>
        <w:widowControl w:val="0"/>
        <w:overflowPunct w:val="0"/>
        <w:autoSpaceDE w:val="0"/>
        <w:autoSpaceDN w:val="0"/>
        <w:adjustRightInd w:val="0"/>
        <w:spacing w:after="0" w:line="240" w:lineRule="auto"/>
        <w:jc w:val="both"/>
        <w:rPr>
          <w:rFonts w:cstheme="minorHAnsi"/>
          <w:b/>
          <w:bCs/>
          <w:sz w:val="24"/>
          <w:szCs w:val="24"/>
        </w:rPr>
      </w:pPr>
      <w:r>
        <w:rPr>
          <w:rFonts w:cstheme="minorHAnsi"/>
          <w:b/>
          <w:bCs/>
          <w:sz w:val="24"/>
          <w:szCs w:val="24"/>
        </w:rPr>
        <w:lastRenderedPageBreak/>
        <w:t xml:space="preserve">What will audience learn from your presentation? </w:t>
      </w:r>
    </w:p>
    <w:p w14:paraId="1499C15F" w14:textId="77777777" w:rsidR="0062594A" w:rsidRDefault="0062594A" w:rsidP="0062594A">
      <w:pPr>
        <w:widowControl w:val="0"/>
        <w:overflowPunct w:val="0"/>
        <w:autoSpaceDE w:val="0"/>
        <w:autoSpaceDN w:val="0"/>
        <w:adjustRightInd w:val="0"/>
        <w:spacing w:after="0" w:line="240" w:lineRule="auto"/>
        <w:jc w:val="both"/>
        <w:rPr>
          <w:rFonts w:cstheme="minorHAnsi"/>
          <w:sz w:val="24"/>
          <w:szCs w:val="24"/>
        </w:rPr>
      </w:pPr>
      <w:r>
        <w:rPr>
          <w:rFonts w:cstheme="minorHAnsi"/>
          <w:sz w:val="24"/>
          <w:szCs w:val="24"/>
        </w:rPr>
        <w:t>(Try to list 3-5 specific items)</w:t>
      </w:r>
    </w:p>
    <w:p w14:paraId="553949DF" w14:textId="2E91AE94" w:rsidR="0062594A" w:rsidRDefault="0062594A" w:rsidP="0062594A">
      <w:pPr>
        <w:pStyle w:val="ListParagraph"/>
        <w:numPr>
          <w:ilvl w:val="0"/>
          <w:numId w:val="2"/>
        </w:numPr>
        <w:spacing w:line="480" w:lineRule="auto"/>
        <w:jc w:val="both"/>
      </w:pPr>
      <w:r>
        <w:t>Knowledge about zirconia crowns</w:t>
      </w:r>
    </w:p>
    <w:p w14:paraId="25E324F5" w14:textId="0532875B" w:rsidR="0062594A" w:rsidRDefault="0062594A" w:rsidP="0062594A">
      <w:pPr>
        <w:pStyle w:val="ListParagraph"/>
        <w:numPr>
          <w:ilvl w:val="0"/>
          <w:numId w:val="2"/>
        </w:numPr>
        <w:spacing w:line="480" w:lineRule="auto"/>
        <w:jc w:val="both"/>
      </w:pPr>
      <w:r>
        <w:t>Clinical steps as to how to prepare tooth surfaces</w:t>
      </w:r>
    </w:p>
    <w:p w14:paraId="7E7F588A" w14:textId="04757C5D" w:rsidR="0062594A" w:rsidRDefault="0062594A" w:rsidP="0062594A">
      <w:pPr>
        <w:pStyle w:val="ListParagraph"/>
        <w:numPr>
          <w:ilvl w:val="0"/>
          <w:numId w:val="2"/>
        </w:numPr>
        <w:spacing w:line="480" w:lineRule="auto"/>
        <w:jc w:val="both"/>
      </w:pPr>
      <w:r>
        <w:t>Indications/contraindications of zirconia</w:t>
      </w:r>
    </w:p>
    <w:p w14:paraId="2A30B854" w14:textId="6C5EBF7D" w:rsidR="0062594A" w:rsidRDefault="0062594A" w:rsidP="0062594A">
      <w:pPr>
        <w:pStyle w:val="ListParagraph"/>
        <w:numPr>
          <w:ilvl w:val="0"/>
          <w:numId w:val="2"/>
        </w:numPr>
        <w:spacing w:line="480" w:lineRule="auto"/>
        <w:jc w:val="both"/>
      </w:pPr>
      <w:r>
        <w:t>Advantages and disadvantages of zirconia</w:t>
      </w:r>
    </w:p>
    <w:p w14:paraId="09E502BE" w14:textId="3029F9AF" w:rsidR="0062594A" w:rsidRDefault="0062594A" w:rsidP="0062594A">
      <w:pPr>
        <w:pStyle w:val="ListParagraph"/>
        <w:numPr>
          <w:ilvl w:val="0"/>
          <w:numId w:val="2"/>
        </w:numPr>
        <w:spacing w:line="480" w:lineRule="auto"/>
        <w:jc w:val="both"/>
      </w:pPr>
      <w:r>
        <w:t>How to use them in daily clinical practice effectively.</w:t>
      </w:r>
    </w:p>
    <w:p w14:paraId="555C79E0" w14:textId="1E97B06B" w:rsidR="0062594A" w:rsidRDefault="0062594A" w:rsidP="0062594A">
      <w:pPr>
        <w:spacing w:line="480" w:lineRule="auto"/>
        <w:jc w:val="both"/>
      </w:pPr>
    </w:p>
    <w:p w14:paraId="3C57A96D" w14:textId="0A0B890D" w:rsidR="0062594A" w:rsidRDefault="0062594A" w:rsidP="0062594A">
      <w:pPr>
        <w:spacing w:line="480" w:lineRule="auto"/>
        <w:jc w:val="both"/>
      </w:pPr>
    </w:p>
    <w:p w14:paraId="77957204" w14:textId="3B43E96E" w:rsidR="0062594A" w:rsidRDefault="0062594A" w:rsidP="0062594A">
      <w:pPr>
        <w:spacing w:line="480" w:lineRule="auto"/>
        <w:jc w:val="both"/>
      </w:pPr>
    </w:p>
    <w:p w14:paraId="375F030B" w14:textId="19E5E00D" w:rsidR="0062594A" w:rsidRDefault="0062594A" w:rsidP="0062594A">
      <w:pPr>
        <w:spacing w:line="480" w:lineRule="auto"/>
        <w:jc w:val="both"/>
      </w:pPr>
      <w:r>
        <w:rPr>
          <w:noProof/>
        </w:rPr>
        <w:drawing>
          <wp:inline distT="0" distB="0" distL="0" distR="0" wp14:anchorId="5CB9BFE8" wp14:editId="6DD4EF59">
            <wp:extent cx="2381250" cy="2381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14:paraId="22D10C7F" w14:textId="48D91956" w:rsidR="00897B8C" w:rsidRDefault="00897B8C" w:rsidP="0062594A">
      <w:pPr>
        <w:spacing w:line="480" w:lineRule="auto"/>
        <w:jc w:val="both"/>
      </w:pPr>
    </w:p>
    <w:p w14:paraId="4BADD0BB" w14:textId="18CDC4D4" w:rsidR="00897B8C" w:rsidRDefault="00897B8C" w:rsidP="0062594A">
      <w:pPr>
        <w:spacing w:line="480" w:lineRule="auto"/>
        <w:jc w:val="both"/>
      </w:pPr>
    </w:p>
    <w:p w14:paraId="2904B2DD" w14:textId="344E8474" w:rsidR="00897B8C" w:rsidRDefault="00897B8C" w:rsidP="0062594A">
      <w:pPr>
        <w:spacing w:line="480" w:lineRule="auto"/>
        <w:jc w:val="both"/>
      </w:pPr>
    </w:p>
    <w:p w14:paraId="0394FB97" w14:textId="77777777" w:rsidR="00897B8C" w:rsidRDefault="00897B8C" w:rsidP="0062594A">
      <w:pPr>
        <w:spacing w:line="480" w:lineRule="auto"/>
        <w:jc w:val="both"/>
        <w:rPr>
          <w:rFonts w:ascii="Times New Roman" w:hAnsi="Times New Roman" w:cs="Times New Roman"/>
          <w:sz w:val="28"/>
          <w:szCs w:val="28"/>
        </w:rPr>
      </w:pPr>
    </w:p>
    <w:p w14:paraId="47AF258D" w14:textId="77777777" w:rsidR="00897B8C" w:rsidRDefault="00897B8C" w:rsidP="0062594A">
      <w:pPr>
        <w:spacing w:line="480" w:lineRule="auto"/>
        <w:jc w:val="both"/>
        <w:rPr>
          <w:rFonts w:ascii="Times New Roman" w:hAnsi="Times New Roman" w:cs="Times New Roman"/>
          <w:sz w:val="28"/>
          <w:szCs w:val="28"/>
        </w:rPr>
      </w:pPr>
    </w:p>
    <w:p w14:paraId="433C2A83" w14:textId="05848356" w:rsidR="00897B8C" w:rsidRPr="00897B8C" w:rsidRDefault="00897B8C" w:rsidP="0062594A">
      <w:pPr>
        <w:spacing w:line="480" w:lineRule="auto"/>
        <w:jc w:val="both"/>
        <w:rPr>
          <w:rFonts w:ascii="Times New Roman" w:hAnsi="Times New Roman" w:cs="Times New Roman"/>
          <w:sz w:val="28"/>
          <w:szCs w:val="28"/>
        </w:rPr>
      </w:pPr>
      <w:bookmarkStart w:id="0" w:name="_GoBack"/>
      <w:bookmarkEnd w:id="0"/>
      <w:r w:rsidRPr="00897B8C">
        <w:rPr>
          <w:rFonts w:ascii="Times New Roman" w:hAnsi="Times New Roman" w:cs="Times New Roman"/>
          <w:sz w:val="28"/>
          <w:szCs w:val="28"/>
        </w:rPr>
        <w:t>Recent publications</w:t>
      </w:r>
    </w:p>
    <w:tbl>
      <w:tblPr>
        <w:tblStyle w:val="TableGrid"/>
        <w:tblW w:w="10165" w:type="dxa"/>
        <w:tblLayout w:type="fixed"/>
        <w:tblLook w:val="04A0" w:firstRow="1" w:lastRow="0" w:firstColumn="1" w:lastColumn="0" w:noHBand="0" w:noVBand="1"/>
      </w:tblPr>
      <w:tblGrid>
        <w:gridCol w:w="10165"/>
      </w:tblGrid>
      <w:tr w:rsidR="00897B8C" w:rsidRPr="00BD3CA3" w14:paraId="5A055BEB" w14:textId="77777777" w:rsidTr="003B129B">
        <w:tc>
          <w:tcPr>
            <w:tcW w:w="4787" w:type="dxa"/>
          </w:tcPr>
          <w:p w14:paraId="04A41A5D" w14:textId="77777777" w:rsidR="00897B8C" w:rsidRPr="00BD3CA3" w:rsidRDefault="00897B8C" w:rsidP="003B129B">
            <w:pPr>
              <w:pStyle w:val="ListParagraph"/>
              <w:widowControl w:val="0"/>
              <w:tabs>
                <w:tab w:val="left" w:pos="1959"/>
                <w:tab w:val="left" w:pos="1960"/>
              </w:tabs>
              <w:autoSpaceDE w:val="0"/>
              <w:autoSpaceDN w:val="0"/>
              <w:spacing w:before="31" w:line="244" w:lineRule="auto"/>
              <w:ind w:left="-108" w:right="-360"/>
              <w:jc w:val="both"/>
              <w:rPr>
                <w:sz w:val="28"/>
                <w:szCs w:val="28"/>
              </w:rPr>
            </w:pPr>
            <w:r w:rsidRPr="00BD3CA3">
              <w:rPr>
                <w:sz w:val="28"/>
                <w:szCs w:val="28"/>
              </w:rPr>
              <w:t xml:space="preserve">Cytotoxicity and bioactivity of </w:t>
            </w:r>
          </w:p>
          <w:p w14:paraId="2694205A" w14:textId="77777777" w:rsidR="00897B8C" w:rsidRPr="00BD3CA3" w:rsidRDefault="00897B8C" w:rsidP="003B129B">
            <w:pPr>
              <w:pStyle w:val="ListParagraph"/>
              <w:widowControl w:val="0"/>
              <w:tabs>
                <w:tab w:val="left" w:pos="1959"/>
                <w:tab w:val="left" w:pos="1960"/>
              </w:tabs>
              <w:autoSpaceDE w:val="0"/>
              <w:autoSpaceDN w:val="0"/>
              <w:spacing w:before="31" w:line="244" w:lineRule="auto"/>
              <w:ind w:left="-108" w:right="-360"/>
              <w:jc w:val="both"/>
              <w:rPr>
                <w:sz w:val="28"/>
                <w:szCs w:val="28"/>
              </w:rPr>
            </w:pPr>
            <w:r w:rsidRPr="00BD3CA3">
              <w:rPr>
                <w:sz w:val="28"/>
                <w:szCs w:val="28"/>
              </w:rPr>
              <w:t xml:space="preserve">Mineral trioxide aggregate and </w:t>
            </w:r>
          </w:p>
          <w:p w14:paraId="1BA9E9E0" w14:textId="77777777" w:rsidR="00897B8C" w:rsidRPr="00BD3CA3" w:rsidRDefault="00897B8C" w:rsidP="003B129B">
            <w:pPr>
              <w:pStyle w:val="ListParagraph"/>
              <w:widowControl w:val="0"/>
              <w:tabs>
                <w:tab w:val="left" w:pos="1959"/>
                <w:tab w:val="left" w:pos="1960"/>
              </w:tabs>
              <w:autoSpaceDE w:val="0"/>
              <w:autoSpaceDN w:val="0"/>
              <w:spacing w:before="31" w:line="244" w:lineRule="auto"/>
              <w:ind w:left="-108" w:right="-360"/>
              <w:jc w:val="both"/>
              <w:rPr>
                <w:sz w:val="28"/>
                <w:szCs w:val="28"/>
              </w:rPr>
            </w:pPr>
            <w:r w:rsidRPr="00BD3CA3">
              <w:rPr>
                <w:sz w:val="28"/>
                <w:szCs w:val="28"/>
              </w:rPr>
              <w:t xml:space="preserve">bioactive endodontic type cements: A systematic Review. Int J Clin </w:t>
            </w:r>
            <w:proofErr w:type="spellStart"/>
            <w:r w:rsidRPr="00BD3CA3">
              <w:rPr>
                <w:sz w:val="28"/>
                <w:szCs w:val="28"/>
              </w:rPr>
              <w:t>Pediatr</w:t>
            </w:r>
            <w:proofErr w:type="spellEnd"/>
            <w:r w:rsidRPr="00BD3CA3">
              <w:rPr>
                <w:sz w:val="28"/>
                <w:szCs w:val="28"/>
              </w:rPr>
              <w:t xml:space="preserve"> </w:t>
            </w:r>
          </w:p>
          <w:p w14:paraId="607DED4C" w14:textId="77777777" w:rsidR="00897B8C" w:rsidRPr="00BD3CA3" w:rsidRDefault="00897B8C" w:rsidP="003B129B">
            <w:pPr>
              <w:pStyle w:val="ListParagraph"/>
              <w:widowControl w:val="0"/>
              <w:tabs>
                <w:tab w:val="left" w:pos="1959"/>
                <w:tab w:val="left" w:pos="1960"/>
              </w:tabs>
              <w:autoSpaceDE w:val="0"/>
              <w:autoSpaceDN w:val="0"/>
              <w:spacing w:before="31" w:line="244" w:lineRule="auto"/>
              <w:ind w:left="-108" w:right="-360"/>
              <w:jc w:val="both"/>
              <w:rPr>
                <w:sz w:val="28"/>
                <w:szCs w:val="28"/>
              </w:rPr>
            </w:pPr>
            <w:r w:rsidRPr="00BD3CA3">
              <w:rPr>
                <w:sz w:val="28"/>
                <w:szCs w:val="28"/>
              </w:rPr>
              <w:t>Dent. 2021;14(1):30-39.</w:t>
            </w:r>
          </w:p>
        </w:tc>
      </w:tr>
      <w:tr w:rsidR="00897B8C" w:rsidRPr="00BD3CA3" w14:paraId="25B98630" w14:textId="77777777" w:rsidTr="003B129B">
        <w:tc>
          <w:tcPr>
            <w:tcW w:w="4787" w:type="dxa"/>
          </w:tcPr>
          <w:p w14:paraId="1AA42203" w14:textId="77777777" w:rsidR="00897B8C" w:rsidRPr="00BD3CA3" w:rsidRDefault="00897B8C" w:rsidP="003B129B">
            <w:pPr>
              <w:rPr>
                <w:rFonts w:ascii="Times New Roman" w:hAnsi="Times New Roman" w:cs="Times New Roman"/>
                <w:sz w:val="28"/>
                <w:szCs w:val="28"/>
              </w:rPr>
            </w:pPr>
            <w:r w:rsidRPr="00BD3CA3">
              <w:rPr>
                <w:rFonts w:ascii="Times New Roman" w:hAnsi="Times New Roman" w:cs="Times New Roman"/>
                <w:sz w:val="28"/>
                <w:szCs w:val="28"/>
              </w:rPr>
              <w:t xml:space="preserve">Assessment of precautionary measures practiced and impact of nationwide lockdown on psychological health of dental professional of Maharashtra due to </w:t>
            </w:r>
            <w:r>
              <w:rPr>
                <w:rFonts w:ascii="Times New Roman" w:hAnsi="Times New Roman" w:cs="Times New Roman"/>
                <w:sz w:val="28"/>
                <w:szCs w:val="28"/>
              </w:rPr>
              <w:t>COVID</w:t>
            </w:r>
            <w:r w:rsidRPr="00BD3CA3">
              <w:rPr>
                <w:rFonts w:ascii="Times New Roman" w:hAnsi="Times New Roman" w:cs="Times New Roman"/>
                <w:sz w:val="28"/>
                <w:szCs w:val="28"/>
              </w:rPr>
              <w:t xml:space="preserve"> -19 pandemic: a cross sectional study. J Cardiovasc Dis Res 2021;12(3):1462-1470.</w:t>
            </w:r>
          </w:p>
        </w:tc>
      </w:tr>
      <w:tr w:rsidR="00897B8C" w:rsidRPr="00790A35" w14:paraId="3A1C85A4" w14:textId="77777777" w:rsidTr="003B129B">
        <w:tc>
          <w:tcPr>
            <w:tcW w:w="4787" w:type="dxa"/>
          </w:tcPr>
          <w:p w14:paraId="595DA2A6" w14:textId="77777777" w:rsidR="00897B8C" w:rsidRPr="00790A35" w:rsidRDefault="00897B8C" w:rsidP="003B129B">
            <w:pPr>
              <w:spacing w:line="360" w:lineRule="auto"/>
              <w:rPr>
                <w:rFonts w:ascii="Times New Roman" w:hAnsi="Times New Roman" w:cs="Times New Roman"/>
                <w:sz w:val="28"/>
                <w:szCs w:val="28"/>
              </w:rPr>
            </w:pPr>
            <w:r w:rsidRPr="00790A35">
              <w:rPr>
                <w:rFonts w:ascii="Times New Roman" w:hAnsi="Times New Roman" w:cs="Times New Roman"/>
                <w:sz w:val="28"/>
                <w:szCs w:val="28"/>
              </w:rPr>
              <w:t xml:space="preserve">SHEDs response to various pulpotomy materials: cytotoxicity and gene expression analysis. J Clin </w:t>
            </w:r>
            <w:proofErr w:type="spellStart"/>
            <w:r w:rsidRPr="00790A35">
              <w:rPr>
                <w:rFonts w:ascii="Times New Roman" w:hAnsi="Times New Roman" w:cs="Times New Roman"/>
                <w:sz w:val="28"/>
                <w:szCs w:val="28"/>
              </w:rPr>
              <w:t>Pediatr</w:t>
            </w:r>
            <w:proofErr w:type="spellEnd"/>
            <w:r w:rsidRPr="00790A35">
              <w:rPr>
                <w:rFonts w:ascii="Times New Roman" w:hAnsi="Times New Roman" w:cs="Times New Roman"/>
                <w:sz w:val="28"/>
                <w:szCs w:val="28"/>
              </w:rPr>
              <w:t xml:space="preserve"> Dent. 2021;45(6):406-13.</w:t>
            </w:r>
          </w:p>
          <w:p w14:paraId="78359185" w14:textId="77777777" w:rsidR="00897B8C" w:rsidRPr="00790A35" w:rsidRDefault="00897B8C" w:rsidP="003B129B">
            <w:pPr>
              <w:pStyle w:val="ListParagraph"/>
              <w:widowControl w:val="0"/>
              <w:tabs>
                <w:tab w:val="left" w:pos="1959"/>
                <w:tab w:val="left" w:pos="1960"/>
              </w:tabs>
              <w:autoSpaceDE w:val="0"/>
              <w:autoSpaceDN w:val="0"/>
              <w:spacing w:before="31" w:line="360" w:lineRule="auto"/>
              <w:ind w:left="-108" w:right="-360"/>
              <w:jc w:val="both"/>
              <w:rPr>
                <w:sz w:val="28"/>
                <w:szCs w:val="28"/>
              </w:rPr>
            </w:pPr>
          </w:p>
        </w:tc>
      </w:tr>
      <w:tr w:rsidR="00897B8C" w:rsidRPr="00053942" w14:paraId="6E08F118" w14:textId="77777777" w:rsidTr="003B129B">
        <w:tc>
          <w:tcPr>
            <w:tcW w:w="4787" w:type="dxa"/>
          </w:tcPr>
          <w:p w14:paraId="733FB4D3" w14:textId="77777777" w:rsidR="00897B8C" w:rsidRPr="00053942" w:rsidRDefault="00897B8C" w:rsidP="003B129B">
            <w:pPr>
              <w:spacing w:line="360" w:lineRule="auto"/>
              <w:rPr>
                <w:rFonts w:ascii="Times New Roman" w:hAnsi="Times New Roman" w:cs="Times New Roman"/>
                <w:sz w:val="28"/>
                <w:szCs w:val="28"/>
              </w:rPr>
            </w:pPr>
            <w:r w:rsidRPr="00053942">
              <w:rPr>
                <w:rFonts w:ascii="Times New Roman" w:hAnsi="Times New Roman" w:cs="Times New Roman"/>
                <w:color w:val="333333"/>
                <w:sz w:val="28"/>
                <w:szCs w:val="28"/>
                <w:shd w:val="clear" w:color="auto" w:fill="FCFCFC"/>
              </w:rPr>
              <w:t xml:space="preserve">Evaluation and comparison of cytotoxicity and bioactivity of chemomechanical caries removal agents on stem cells from human exfoliated deciduous teeth. Eur Arch </w:t>
            </w:r>
            <w:proofErr w:type="spellStart"/>
            <w:r w:rsidRPr="00053942">
              <w:rPr>
                <w:rFonts w:ascii="Times New Roman" w:hAnsi="Times New Roman" w:cs="Times New Roman"/>
                <w:color w:val="333333"/>
                <w:sz w:val="28"/>
                <w:szCs w:val="28"/>
                <w:shd w:val="clear" w:color="auto" w:fill="FCFCFC"/>
              </w:rPr>
              <w:t>Paediatr</w:t>
            </w:r>
            <w:proofErr w:type="spellEnd"/>
            <w:r w:rsidRPr="00053942">
              <w:rPr>
                <w:rFonts w:ascii="Times New Roman" w:hAnsi="Times New Roman" w:cs="Times New Roman"/>
                <w:color w:val="333333"/>
                <w:sz w:val="28"/>
                <w:szCs w:val="28"/>
                <w:shd w:val="clear" w:color="auto" w:fill="FCFCFC"/>
              </w:rPr>
              <w:t xml:space="preserve"> Dent.2021. </w:t>
            </w:r>
          </w:p>
        </w:tc>
      </w:tr>
      <w:tr w:rsidR="00897B8C" w:rsidRPr="002F07BA" w14:paraId="333E318E" w14:textId="77777777" w:rsidTr="003B129B">
        <w:tc>
          <w:tcPr>
            <w:tcW w:w="4787" w:type="dxa"/>
          </w:tcPr>
          <w:p w14:paraId="68161C07" w14:textId="77777777" w:rsidR="00897B8C" w:rsidRPr="002F07BA" w:rsidRDefault="00897B8C" w:rsidP="003B129B">
            <w:pPr>
              <w:spacing w:line="360" w:lineRule="auto"/>
              <w:rPr>
                <w:rFonts w:ascii="Times New Roman" w:hAnsi="Times New Roman" w:cs="Times New Roman"/>
                <w:color w:val="000000" w:themeColor="text1"/>
                <w:sz w:val="28"/>
                <w:szCs w:val="28"/>
              </w:rPr>
            </w:pPr>
            <w:r w:rsidRPr="00053942">
              <w:rPr>
                <w:rFonts w:ascii="Times New Roman" w:hAnsi="Times New Roman" w:cs="Times New Roman"/>
                <w:color w:val="000000" w:themeColor="text1"/>
                <w:sz w:val="28"/>
                <w:szCs w:val="28"/>
              </w:rPr>
              <w:t xml:space="preserve">Constituents, Properties and Clinical Applications of </w:t>
            </w:r>
            <w:proofErr w:type="spellStart"/>
            <w:r w:rsidRPr="00053942">
              <w:rPr>
                <w:rFonts w:ascii="Times New Roman" w:hAnsi="Times New Roman" w:cs="Times New Roman"/>
                <w:color w:val="000000" w:themeColor="text1"/>
                <w:sz w:val="28"/>
                <w:szCs w:val="28"/>
              </w:rPr>
              <w:t>OrthoMTA</w:t>
            </w:r>
            <w:proofErr w:type="spellEnd"/>
            <w:r w:rsidRPr="00053942">
              <w:rPr>
                <w:rFonts w:ascii="Times New Roman" w:hAnsi="Times New Roman" w:cs="Times New Roman"/>
                <w:color w:val="000000" w:themeColor="text1"/>
                <w:sz w:val="28"/>
                <w:szCs w:val="28"/>
              </w:rPr>
              <w:t xml:space="preserve"> &amp; </w:t>
            </w:r>
            <w:proofErr w:type="spellStart"/>
            <w:r w:rsidRPr="00053942">
              <w:rPr>
                <w:rFonts w:ascii="Times New Roman" w:hAnsi="Times New Roman" w:cs="Times New Roman"/>
                <w:color w:val="000000" w:themeColor="text1"/>
                <w:sz w:val="28"/>
                <w:szCs w:val="28"/>
              </w:rPr>
              <w:t>RetroMTA</w:t>
            </w:r>
            <w:proofErr w:type="spellEnd"/>
            <w:r w:rsidRPr="00053942">
              <w:rPr>
                <w:rFonts w:ascii="Times New Roman" w:hAnsi="Times New Roman" w:cs="Times New Roman"/>
                <w:color w:val="000000" w:themeColor="text1"/>
                <w:sz w:val="28"/>
                <w:szCs w:val="28"/>
              </w:rPr>
              <w:t>: A Systematic Review. Indian J Dent Res.2021;</w:t>
            </w:r>
            <w:r>
              <w:rPr>
                <w:rFonts w:ascii="Times New Roman" w:hAnsi="Times New Roman" w:cs="Times New Roman"/>
                <w:color w:val="000000" w:themeColor="text1"/>
                <w:sz w:val="28"/>
                <w:szCs w:val="28"/>
              </w:rPr>
              <w:t>32(4):514-523.</w:t>
            </w:r>
          </w:p>
        </w:tc>
      </w:tr>
      <w:tr w:rsidR="00897B8C" w:rsidRPr="006604ED" w14:paraId="38AD6856" w14:textId="77777777" w:rsidTr="003B129B">
        <w:tc>
          <w:tcPr>
            <w:tcW w:w="4787" w:type="dxa"/>
          </w:tcPr>
          <w:p w14:paraId="73FFD579" w14:textId="77777777" w:rsidR="00897B8C" w:rsidRPr="006604ED" w:rsidRDefault="00897B8C" w:rsidP="003B129B">
            <w:pPr>
              <w:spacing w:line="360" w:lineRule="auto"/>
              <w:rPr>
                <w:rFonts w:ascii="Times New Roman" w:hAnsi="Times New Roman" w:cs="Times New Roman"/>
                <w:color w:val="333333"/>
                <w:sz w:val="28"/>
                <w:szCs w:val="28"/>
                <w:shd w:val="clear" w:color="auto" w:fill="FCFCFC"/>
              </w:rPr>
            </w:pPr>
            <w:r>
              <w:rPr>
                <w:rFonts w:ascii="Times New Roman" w:hAnsi="Times New Roman" w:cs="Times New Roman"/>
                <w:color w:val="333333"/>
                <w:sz w:val="28"/>
                <w:szCs w:val="28"/>
                <w:shd w:val="clear" w:color="auto" w:fill="FCFCFC"/>
              </w:rPr>
              <w:t xml:space="preserve">The COVID-19 pandemic in a pediatric population: A health care perspective. J Mother Child. </w:t>
            </w:r>
            <w:proofErr w:type="gramStart"/>
            <w:r>
              <w:rPr>
                <w:rFonts w:ascii="Times New Roman" w:hAnsi="Times New Roman" w:cs="Times New Roman"/>
                <w:color w:val="333333"/>
                <w:sz w:val="28"/>
                <w:szCs w:val="28"/>
                <w:shd w:val="clear" w:color="auto" w:fill="FCFCFC"/>
              </w:rPr>
              <w:t>2021;2:102</w:t>
            </w:r>
            <w:proofErr w:type="gramEnd"/>
            <w:r>
              <w:rPr>
                <w:rFonts w:ascii="Times New Roman" w:hAnsi="Times New Roman" w:cs="Times New Roman"/>
                <w:color w:val="333333"/>
                <w:sz w:val="28"/>
                <w:szCs w:val="28"/>
                <w:shd w:val="clear" w:color="auto" w:fill="FCFCFC"/>
              </w:rPr>
              <w:t>-18.</w:t>
            </w:r>
          </w:p>
        </w:tc>
      </w:tr>
      <w:tr w:rsidR="00897B8C" w14:paraId="62079814" w14:textId="77777777" w:rsidTr="003B129B">
        <w:tc>
          <w:tcPr>
            <w:tcW w:w="4787" w:type="dxa"/>
          </w:tcPr>
          <w:p w14:paraId="6F887BF0" w14:textId="77777777" w:rsidR="00897B8C" w:rsidRDefault="00897B8C" w:rsidP="003B129B">
            <w:pPr>
              <w:spacing w:line="360" w:lineRule="auto"/>
              <w:rPr>
                <w:rFonts w:ascii="Times New Roman" w:hAnsi="Times New Roman" w:cs="Times New Roman"/>
                <w:color w:val="333333"/>
                <w:sz w:val="28"/>
                <w:szCs w:val="28"/>
                <w:shd w:val="clear" w:color="auto" w:fill="FCFCFC"/>
              </w:rPr>
            </w:pPr>
            <w:r>
              <w:rPr>
                <w:rFonts w:ascii="Times New Roman" w:hAnsi="Times New Roman" w:cs="Times New Roman"/>
                <w:color w:val="333333"/>
                <w:sz w:val="28"/>
                <w:szCs w:val="28"/>
                <w:shd w:val="clear" w:color="auto" w:fill="FCFCFC"/>
              </w:rPr>
              <w:t xml:space="preserve">Assessment of bacterial load using 3.8% SDF as an irrigant in pulpectomized primary molars: A randomized controlled trial. Int J Clin </w:t>
            </w:r>
            <w:proofErr w:type="spellStart"/>
            <w:r>
              <w:rPr>
                <w:rFonts w:ascii="Times New Roman" w:hAnsi="Times New Roman" w:cs="Times New Roman"/>
                <w:color w:val="333333"/>
                <w:sz w:val="28"/>
                <w:szCs w:val="28"/>
                <w:shd w:val="clear" w:color="auto" w:fill="FCFCFC"/>
              </w:rPr>
              <w:t>Pediatr</w:t>
            </w:r>
            <w:proofErr w:type="spellEnd"/>
            <w:r>
              <w:rPr>
                <w:rFonts w:ascii="Times New Roman" w:hAnsi="Times New Roman" w:cs="Times New Roman"/>
                <w:color w:val="333333"/>
                <w:sz w:val="28"/>
                <w:szCs w:val="28"/>
                <w:shd w:val="clear" w:color="auto" w:fill="FCFCFC"/>
              </w:rPr>
              <w:t xml:space="preserve"> Dent. 2022;15(S1):47-51.</w:t>
            </w:r>
          </w:p>
        </w:tc>
      </w:tr>
      <w:tr w:rsidR="00897B8C" w14:paraId="45C10446" w14:textId="77777777" w:rsidTr="003B129B">
        <w:tc>
          <w:tcPr>
            <w:tcW w:w="4787" w:type="dxa"/>
          </w:tcPr>
          <w:p w14:paraId="586214B3" w14:textId="77777777" w:rsidR="00897B8C" w:rsidRDefault="00897B8C" w:rsidP="003B129B">
            <w:pPr>
              <w:spacing w:line="360" w:lineRule="auto"/>
              <w:rPr>
                <w:rFonts w:ascii="Times New Roman" w:hAnsi="Times New Roman" w:cs="Times New Roman"/>
                <w:color w:val="333333"/>
                <w:sz w:val="28"/>
                <w:szCs w:val="28"/>
                <w:shd w:val="clear" w:color="auto" w:fill="FCFCFC"/>
              </w:rPr>
            </w:pPr>
            <w:r>
              <w:rPr>
                <w:rFonts w:ascii="Times New Roman" w:hAnsi="Times New Roman" w:cs="Times New Roman"/>
                <w:color w:val="333333"/>
                <w:sz w:val="28"/>
                <w:szCs w:val="28"/>
                <w:shd w:val="clear" w:color="auto" w:fill="FCFCFC"/>
              </w:rPr>
              <w:lastRenderedPageBreak/>
              <w:t xml:space="preserve">Biocompatibility, bioactivity and gene expression analysis of SHEDs cultured in various calcium </w:t>
            </w:r>
            <w:proofErr w:type="gramStart"/>
            <w:r>
              <w:rPr>
                <w:rFonts w:ascii="Times New Roman" w:hAnsi="Times New Roman" w:cs="Times New Roman"/>
                <w:color w:val="333333"/>
                <w:sz w:val="28"/>
                <w:szCs w:val="28"/>
                <w:shd w:val="clear" w:color="auto" w:fill="FCFCFC"/>
              </w:rPr>
              <w:t>silicate based</w:t>
            </w:r>
            <w:proofErr w:type="gramEnd"/>
            <w:r>
              <w:rPr>
                <w:rFonts w:ascii="Times New Roman" w:hAnsi="Times New Roman" w:cs="Times New Roman"/>
                <w:color w:val="333333"/>
                <w:sz w:val="28"/>
                <w:szCs w:val="28"/>
                <w:shd w:val="clear" w:color="auto" w:fill="FCFCFC"/>
              </w:rPr>
              <w:t xml:space="preserve"> cements: A systematic review and meta-analysis of in vitro studies. J Clin </w:t>
            </w:r>
            <w:proofErr w:type="spellStart"/>
            <w:r>
              <w:rPr>
                <w:rFonts w:ascii="Times New Roman" w:hAnsi="Times New Roman" w:cs="Times New Roman"/>
                <w:color w:val="333333"/>
                <w:sz w:val="28"/>
                <w:szCs w:val="28"/>
                <w:shd w:val="clear" w:color="auto" w:fill="FCFCFC"/>
              </w:rPr>
              <w:t>Pediatr</w:t>
            </w:r>
            <w:proofErr w:type="spellEnd"/>
            <w:r>
              <w:rPr>
                <w:rFonts w:ascii="Times New Roman" w:hAnsi="Times New Roman" w:cs="Times New Roman"/>
                <w:color w:val="333333"/>
                <w:sz w:val="28"/>
                <w:szCs w:val="28"/>
                <w:shd w:val="clear" w:color="auto" w:fill="FCFCFC"/>
              </w:rPr>
              <w:t xml:space="preserve"> Dent. 2022;46(3):171-82.</w:t>
            </w:r>
          </w:p>
        </w:tc>
      </w:tr>
    </w:tbl>
    <w:p w14:paraId="7B1F8E54" w14:textId="77777777" w:rsidR="00897B8C" w:rsidRDefault="00897B8C" w:rsidP="0062594A">
      <w:pPr>
        <w:spacing w:line="480" w:lineRule="auto"/>
        <w:jc w:val="both"/>
      </w:pPr>
    </w:p>
    <w:sectPr w:rsidR="00897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start w:val="1"/>
      <w:numFmt w:val="bullet"/>
      <w:lvlText w:val=""/>
      <w:lvlJc w:val="left"/>
      <w:pPr>
        <w:ind w:left="3600" w:hanging="360"/>
      </w:pPr>
      <w:rPr>
        <w:rFonts w:ascii="Symbol" w:hAnsi="Symbol" w:hint="default"/>
      </w:rPr>
    </w:lvl>
    <w:lvl w:ilvl="4" w:tplc="40090003">
      <w:start w:val="1"/>
      <w:numFmt w:val="bullet"/>
      <w:lvlText w:val="o"/>
      <w:lvlJc w:val="left"/>
      <w:pPr>
        <w:ind w:left="4320" w:hanging="360"/>
      </w:pPr>
      <w:rPr>
        <w:rFonts w:ascii="Courier New" w:hAnsi="Courier New" w:cs="Courier New" w:hint="default"/>
      </w:rPr>
    </w:lvl>
    <w:lvl w:ilvl="5" w:tplc="40090005">
      <w:start w:val="1"/>
      <w:numFmt w:val="bullet"/>
      <w:lvlText w:val=""/>
      <w:lvlJc w:val="left"/>
      <w:pPr>
        <w:ind w:left="5040" w:hanging="360"/>
      </w:pPr>
      <w:rPr>
        <w:rFonts w:ascii="Wingdings" w:hAnsi="Wingdings" w:hint="default"/>
      </w:rPr>
    </w:lvl>
    <w:lvl w:ilvl="6" w:tplc="40090001">
      <w:start w:val="1"/>
      <w:numFmt w:val="bullet"/>
      <w:lvlText w:val=""/>
      <w:lvlJc w:val="left"/>
      <w:pPr>
        <w:ind w:left="5760" w:hanging="360"/>
      </w:pPr>
      <w:rPr>
        <w:rFonts w:ascii="Symbol" w:hAnsi="Symbol" w:hint="default"/>
      </w:rPr>
    </w:lvl>
    <w:lvl w:ilvl="7" w:tplc="40090003">
      <w:start w:val="1"/>
      <w:numFmt w:val="bullet"/>
      <w:lvlText w:val="o"/>
      <w:lvlJc w:val="left"/>
      <w:pPr>
        <w:ind w:left="6480" w:hanging="360"/>
      </w:pPr>
      <w:rPr>
        <w:rFonts w:ascii="Courier New" w:hAnsi="Courier New" w:cs="Courier New" w:hint="default"/>
      </w:rPr>
    </w:lvl>
    <w:lvl w:ilvl="8" w:tplc="40090005">
      <w:start w:val="1"/>
      <w:numFmt w:val="bullet"/>
      <w:lvlText w:val=""/>
      <w:lvlJc w:val="left"/>
      <w:pPr>
        <w:ind w:left="7200" w:hanging="360"/>
      </w:pPr>
      <w:rPr>
        <w:rFonts w:ascii="Wingdings" w:hAnsi="Wingdings" w:hint="default"/>
      </w:rPr>
    </w:lvl>
  </w:abstractNum>
  <w:abstractNum w:abstractNumId="1" w15:restartNumberingAfterBreak="0">
    <w:nsid w:val="4AEC7F51"/>
    <w:multiLevelType w:val="hybridMultilevel"/>
    <w:tmpl w:val="1F34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CF0"/>
    <w:rsid w:val="003B1CF0"/>
    <w:rsid w:val="0062594A"/>
    <w:rsid w:val="00897B8C"/>
    <w:rsid w:val="00995892"/>
    <w:rsid w:val="00C15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D781"/>
  <w15:chartTrackingRefBased/>
  <w15:docId w15:val="{0762987B-F49C-489E-AD50-E030F0A0E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94A"/>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94A"/>
    <w:pPr>
      <w:ind w:left="720"/>
      <w:contextualSpacing/>
    </w:pPr>
  </w:style>
  <w:style w:type="table" w:styleId="TableGrid">
    <w:name w:val="Table Grid"/>
    <w:basedOn w:val="TableNormal"/>
    <w:uiPriority w:val="39"/>
    <w:rsid w:val="00897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570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2022-04-04T06:56:00Z</dcterms:created>
  <dcterms:modified xsi:type="dcterms:W3CDTF">2022-06-29T08:26:00Z</dcterms:modified>
</cp:coreProperties>
</file>