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917DB5" w:rsidP="00917DB5">
      <w:pPr>
        <w:spacing w:before="47" w:line="400" w:lineRule="exact"/>
        <w:rPr>
          <w:rFonts w:ascii="Minion Pro"/>
          <w:b/>
          <w:sz w:val="36"/>
        </w:rPr>
      </w:pPr>
      <w:bookmarkStart w:id="0" w:name="_GoBack"/>
      <w:bookmarkEnd w:id="0"/>
      <w:r>
        <w:rPr>
          <w:rFonts w:ascii="Minion Pro"/>
          <w:b/>
          <w:color w:val="337AB7"/>
          <w:sz w:val="36"/>
        </w:rPr>
        <w:t>W</w:t>
      </w:r>
      <w:r w:rsidR="00A9710C">
        <w:rPr>
          <w:rFonts w:ascii="Minion Pro"/>
          <w:b/>
          <w:color w:val="337AB7"/>
          <w:sz w:val="36"/>
        </w:rPr>
        <w:t>omen, trauma and alcohol dependency: Connections and disconnections in alcohol treatment for women</w:t>
      </w:r>
    </w:p>
    <w:p w:rsidR="00917DB5" w:rsidRDefault="00917DB5">
      <w:pPr>
        <w:pStyle w:val="BodyText"/>
        <w:spacing w:before="73" w:line="198" w:lineRule="exact"/>
        <w:ind w:left="100" w:right="5987"/>
        <w:rPr>
          <w:rFonts w:ascii="Arial"/>
        </w:rPr>
      </w:pPr>
    </w:p>
    <w:p w:rsidR="00AE3E37" w:rsidRDefault="00A9710C">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917DB5">
      <w:pPr>
        <w:pStyle w:val="BodyText"/>
        <w:spacing w:before="3"/>
        <w:rPr>
          <w:rFonts w:ascii="Arial"/>
          <w:sz w:val="28"/>
        </w:rPr>
      </w:pPr>
      <w:r>
        <w:rPr>
          <w:noProof/>
          <w:lang w:val="en-IN" w:eastAsia="en-IN"/>
        </w:rPr>
        <mc:AlternateContent>
          <mc:Choice Requires="wps">
            <w:drawing>
              <wp:anchor distT="0" distB="0" distL="0" distR="0" simplePos="0" relativeHeight="1096" behindDoc="0" locked="0" layoutInCell="1" allowOverlap="1">
                <wp:simplePos x="0" y="0"/>
                <wp:positionH relativeFrom="page">
                  <wp:posOffset>3853815</wp:posOffset>
                </wp:positionH>
                <wp:positionV relativeFrom="paragraph">
                  <wp:posOffset>244475</wp:posOffset>
                </wp:positionV>
                <wp:extent cx="3251200" cy="0"/>
                <wp:effectExtent l="15240" t="15875" r="19685" b="12700"/>
                <wp:wrapTopAndBottom/>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0"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3.45pt,19.25pt" to="559.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" strokecolor="#004080" strokeweight="2pt">
                <w10:wrap type="topAndBottom" anchorx="page"/>
              </v:line>
            </w:pict>
          </mc:Fallback>
        </mc:AlternateContent>
      </w:r>
    </w:p>
    <w:p w:rsidR="00AE3E37" w:rsidRDefault="00AE3E37">
      <w:pPr>
        <w:rPr>
          <w:rFonts w:ascii="Arial"/>
          <w:sz w:val="28"/>
        </w:rPr>
        <w:sectPr w:rsidR="00AE3E37">
          <w:headerReference w:type="default" r:id="rId8"/>
          <w:footerReference w:type="default" r:id="rId9"/>
          <w:pgSz w:w="11910" w:h="16840"/>
          <w:pgMar w:top="1740" w:right="580" w:bottom="840" w:left="620" w:header="541" w:footer="642" w:gutter="0"/>
          <w:cols w:space="720"/>
        </w:sectPr>
      </w:pPr>
    </w:p>
    <w:p w:rsidR="00AE3E37" w:rsidRDefault="00A9710C">
      <w:pPr>
        <w:pStyle w:val="Heading3"/>
        <w:spacing w:line="218" w:lineRule="exact"/>
        <w:jc w:val="both"/>
      </w:pPr>
      <w:r>
        <w:rPr>
          <w:color w:val="BF5A14"/>
        </w:rPr>
        <w:lastRenderedPageBreak/>
        <w:t>Abstract</w:t>
      </w:r>
    </w:p>
    <w:p w:rsidR="00AE3E37" w:rsidRDefault="004167D1">
      <w:pPr>
        <w:pStyle w:val="BodyText"/>
        <w:spacing w:before="76" w:line="264" w:lineRule="auto"/>
        <w:ind w:left="100"/>
        <w:jc w:val="both"/>
      </w:pPr>
      <w:r>
        <w:rPr>
          <w:noProof/>
          <w:lang w:val="en-IN" w:eastAsia="en-IN"/>
        </w:rPr>
        <w:drawing>
          <wp:anchor distT="0" distB="0" distL="114300" distR="114300" simplePos="0" relativeHeight="251661312" behindDoc="0" locked="0" layoutInCell="1" allowOverlap="1" wp14:anchorId="6BA052E2" wp14:editId="0098A0BE">
            <wp:simplePos x="0" y="0"/>
            <wp:positionH relativeFrom="column">
              <wp:posOffset>3533775</wp:posOffset>
            </wp:positionH>
            <wp:positionV relativeFrom="paragraph">
              <wp:posOffset>236220</wp:posOffset>
            </wp:positionV>
            <wp:extent cx="572135" cy="564515"/>
            <wp:effectExtent l="0" t="0" r="0" b="698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72135" cy="564515"/>
                    </a:xfrm>
                    <a:prstGeom prst="rect">
                      <a:avLst/>
                    </a:prstGeom>
                    <a:noFill/>
                    <a:ln>
                      <a:noFill/>
                    </a:ln>
                  </pic:spPr>
                </pic:pic>
              </a:graphicData>
            </a:graphic>
            <wp14:sizeRelV relativeFrom="margin">
              <wp14:pctHeight>0</wp14:pctHeight>
            </wp14:sizeRelV>
          </wp:anchor>
        </w:drawing>
      </w:r>
      <w:r w:rsidR="00A9710C">
        <w:t xml:space="preserve">Statement of the Problem: Women who have experienced intimate </w:t>
      </w:r>
      <w:proofErr w:type="spellStart"/>
      <w:r w:rsidR="00A9710C">
        <w:t>partnerviolence</w:t>
      </w:r>
      <w:proofErr w:type="spellEnd"/>
      <w:r w:rsidR="000E2911">
        <w:t xml:space="preserve"> </w:t>
      </w:r>
      <w:r w:rsidR="00A9710C">
        <w:t>(IPV)</w:t>
      </w:r>
      <w:r w:rsidR="000E2911">
        <w:t xml:space="preserve"> </w:t>
      </w:r>
      <w:r w:rsidR="00A9710C">
        <w:t>are</w:t>
      </w:r>
      <w:r w:rsidR="000E2911">
        <w:t xml:space="preserve"> </w:t>
      </w:r>
      <w:r w:rsidR="00A9710C">
        <w:t>at</w:t>
      </w:r>
      <w:r w:rsidR="000E2911">
        <w:t xml:space="preserve"> </w:t>
      </w:r>
      <w:r w:rsidR="00A9710C">
        <w:t>greater</w:t>
      </w:r>
      <w:r w:rsidR="000E2911">
        <w:t xml:space="preserve"> </w:t>
      </w:r>
      <w:r w:rsidR="00A9710C">
        <w:t>risk</w:t>
      </w:r>
      <w:r w:rsidR="000E2911">
        <w:t xml:space="preserve"> </w:t>
      </w:r>
      <w:r w:rsidR="00A9710C">
        <w:t>for</w:t>
      </w:r>
      <w:r w:rsidR="000E2911">
        <w:t xml:space="preserve"> </w:t>
      </w:r>
      <w:r w:rsidR="00A9710C">
        <w:t>physical</w:t>
      </w:r>
      <w:r w:rsidR="000E2911">
        <w:t xml:space="preserve"> </w:t>
      </w:r>
      <w:r w:rsidR="00A9710C">
        <w:t>and</w:t>
      </w:r>
      <w:r w:rsidR="000E2911">
        <w:t xml:space="preserve"> </w:t>
      </w:r>
      <w:r w:rsidR="00A9710C">
        <w:t>mental</w:t>
      </w:r>
      <w:r w:rsidR="000E2911">
        <w:t xml:space="preserve"> </w:t>
      </w:r>
      <w:r w:rsidR="00A9710C">
        <w:t>health problems including posttraumatic stress disorder (PTSD) and alcohol dependency. On their own IPV, PTSD and alcohol dependency result   in significant personal, social and economic cost and the impact of all three</w:t>
      </w:r>
      <w:r w:rsidR="000E2911">
        <w:t xml:space="preserve"> </w:t>
      </w:r>
      <w:r w:rsidR="00A9710C">
        <w:t>may</w:t>
      </w:r>
      <w:r w:rsidR="000E2911">
        <w:t xml:space="preserve"> </w:t>
      </w:r>
      <w:r w:rsidR="00A9710C">
        <w:t>compound</w:t>
      </w:r>
      <w:r w:rsidR="000E2911">
        <w:t xml:space="preserve"> </w:t>
      </w:r>
      <w:r w:rsidR="00A9710C">
        <w:t>these</w:t>
      </w:r>
      <w:r w:rsidR="000E2911">
        <w:t xml:space="preserve"> </w:t>
      </w:r>
      <w:r w:rsidR="00A9710C">
        <w:t>costs.</w:t>
      </w:r>
      <w:r w:rsidR="000E2911">
        <w:t xml:space="preserve"> </w:t>
      </w:r>
      <w:r w:rsidR="00A9710C">
        <w:t>Researchers</w:t>
      </w:r>
      <w:r w:rsidR="000E2911">
        <w:t xml:space="preserve"> </w:t>
      </w:r>
      <w:r w:rsidR="00A9710C">
        <w:t>have</w:t>
      </w:r>
      <w:r w:rsidR="000E2911">
        <w:t xml:space="preserve"> </w:t>
      </w:r>
      <w:r w:rsidR="00A9710C">
        <w:t>reported</w:t>
      </w:r>
      <w:r w:rsidR="000E2911">
        <w:t xml:space="preserve"> </w:t>
      </w:r>
      <w:r w:rsidR="00A9710C">
        <w:t>that</w:t>
      </w:r>
      <w:r w:rsidR="000E2911">
        <w:t xml:space="preserve"> </w:t>
      </w:r>
      <w:r w:rsidR="00A9710C">
        <w:t>women with these experiences are more difficult to treat; many do</w:t>
      </w:r>
      <w:r w:rsidR="000E2911">
        <w:t xml:space="preserve"> </w:t>
      </w:r>
      <w:r w:rsidR="00A9710C">
        <w:t>not</w:t>
      </w:r>
      <w:r w:rsidR="000E2911">
        <w:t xml:space="preserve"> </w:t>
      </w:r>
      <w:r w:rsidR="00A9710C">
        <w:t>access treatment</w:t>
      </w:r>
      <w:r w:rsidR="000E2911">
        <w:t xml:space="preserve"> </w:t>
      </w:r>
      <w:r w:rsidR="00A9710C">
        <w:t>and</w:t>
      </w:r>
      <w:r w:rsidR="000E2911">
        <w:t xml:space="preserve"> </w:t>
      </w:r>
      <w:r w:rsidR="00A9710C">
        <w:t>those</w:t>
      </w:r>
      <w:r w:rsidR="000E2911">
        <w:t xml:space="preserve"> </w:t>
      </w:r>
      <w:r w:rsidR="00A9710C">
        <w:t>who</w:t>
      </w:r>
      <w:r w:rsidR="000E2911">
        <w:t xml:space="preserve"> </w:t>
      </w:r>
      <w:r w:rsidR="00A9710C">
        <w:t>do,</w:t>
      </w:r>
      <w:r w:rsidR="000E2911">
        <w:t xml:space="preserve"> </w:t>
      </w:r>
      <w:r w:rsidR="00A9710C">
        <w:t>frequently</w:t>
      </w:r>
      <w:r w:rsidR="000E2911">
        <w:t xml:space="preserve"> </w:t>
      </w:r>
      <w:r w:rsidR="00A9710C">
        <w:t>do</w:t>
      </w:r>
      <w:r w:rsidR="000E2911">
        <w:t xml:space="preserve"> </w:t>
      </w:r>
      <w:r w:rsidR="00A9710C">
        <w:t>not</w:t>
      </w:r>
      <w:r w:rsidR="000E2911">
        <w:t xml:space="preserve"> </w:t>
      </w:r>
      <w:r w:rsidR="00A9710C">
        <w:t>stay</w:t>
      </w:r>
      <w:r w:rsidR="000E2911">
        <w:t xml:space="preserve"> </w:t>
      </w:r>
      <w:r w:rsidR="00A9710C">
        <w:t>because</w:t>
      </w:r>
      <w:r w:rsidR="000E2911">
        <w:t xml:space="preserve"> </w:t>
      </w:r>
      <w:r w:rsidR="00A9710C">
        <w:t>of</w:t>
      </w:r>
      <w:r w:rsidR="000E2911">
        <w:t xml:space="preserve"> </w:t>
      </w:r>
      <w:r w:rsidR="00A9710C">
        <w:t>difficulty</w:t>
      </w:r>
    </w:p>
    <w:p w:rsidR="00AE3E37" w:rsidRDefault="00A9710C">
      <w:pPr>
        <w:spacing w:before="63"/>
        <w:ind w:left="1428" w:right="1579"/>
        <w:jc w:val="center"/>
        <w:rPr>
          <w:rFonts w:ascii="Arial"/>
        </w:rPr>
      </w:pPr>
      <w:r>
        <w:br w:type="column"/>
      </w:r>
      <w:r>
        <w:rPr>
          <w:rFonts w:ascii="Arial"/>
          <w:color w:val="BF5A14"/>
        </w:rPr>
        <w:t>Biography</w:t>
      </w:r>
    </w:p>
    <w:p w:rsidR="00AE3E37" w:rsidRDefault="00A9710C">
      <w:pPr>
        <w:spacing w:before="41" w:line="154" w:lineRule="exact"/>
        <w:ind w:left="100" w:right="250"/>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responsiveconstructivistscreatesnewpathwaysforimprovinghealthcare.She has built this model after years of experience in research, evaluation, teaching and administration both in hospital and education institutions. The </w:t>
      </w:r>
      <w:proofErr w:type="gramStart"/>
      <w:r>
        <w:rPr>
          <w:rFonts w:ascii="Arial"/>
          <w:sz w:val="14"/>
        </w:rPr>
        <w:t>foundation  is</w:t>
      </w:r>
      <w:proofErr w:type="gramEnd"/>
      <w:r>
        <w:rPr>
          <w:rFonts w:ascii="Arial"/>
          <w:sz w:val="14"/>
        </w:rPr>
        <w:t xml:space="preserve"> based on fourth generation evaluation (Guba&amp; Lincoln, 1989) which is a methodologythatutilizesthepreviousgenerationsofevaluation:measurement, description and judgment. It allows for value-pluralism. This approach is responsive to all stakeholders and has a different way of</w:t>
      </w:r>
      <w:r w:rsidR="00917DB5">
        <w:rPr>
          <w:rFonts w:ascii="Arial"/>
          <w:sz w:val="14"/>
        </w:rPr>
        <w:t xml:space="preserve"> </w:t>
      </w:r>
      <w:r>
        <w:rPr>
          <w:rFonts w:ascii="Arial"/>
          <w:sz w:val="14"/>
        </w:rPr>
        <w:t>focusing.</w:t>
      </w:r>
    </w:p>
    <w:p w:rsidR="00AE3E37" w:rsidRDefault="00A9710C">
      <w:pPr>
        <w:spacing w:before="62"/>
        <w:ind w:left="1428" w:right="1579"/>
        <w:jc w:val="center"/>
        <w:rPr>
          <w:rFonts w:ascii="Arial"/>
          <w:sz w:val="14"/>
        </w:rPr>
      </w:pPr>
      <w:r>
        <w:rPr>
          <w:rFonts w:ascii="Arial"/>
          <w:sz w:val="14"/>
        </w:rPr>
        <w:t xml:space="preserve">Email: </w:t>
      </w:r>
      <w:hyperlink r:id="rId11">
        <w:r>
          <w:rPr>
            <w:rFonts w:ascii="Arial"/>
            <w:color w:val="004080"/>
            <w:sz w:val="14"/>
          </w:rPr>
          <w:t>dr</w:t>
        </w:r>
        <w:r w:rsidR="004167D1">
          <w:rPr>
            <w:rFonts w:ascii="Arial"/>
            <w:color w:val="004080"/>
            <w:sz w:val="14"/>
          </w:rPr>
          <w:t>……</w:t>
        </w:r>
        <w:r w:rsidR="004167D1">
          <w:rPr>
            <w:rFonts w:ascii="Arial"/>
            <w:color w:val="004080"/>
            <w:sz w:val="14"/>
          </w:rPr>
          <w:t>.</w:t>
        </w:r>
        <w:r>
          <w:rPr>
            <w:rFonts w:ascii="Arial"/>
            <w:color w:val="004080"/>
            <w:sz w:val="14"/>
          </w:rPr>
          <w:t>@</w:t>
        </w:r>
        <w:r w:rsidR="004167D1">
          <w:rPr>
            <w:rFonts w:ascii="Arial"/>
            <w:color w:val="004080"/>
            <w:sz w:val="14"/>
          </w:rPr>
          <w:t>xxx</w:t>
        </w:r>
        <w:r>
          <w:rPr>
            <w:rFonts w:ascii="Arial"/>
            <w:color w:val="004080"/>
            <w:sz w:val="14"/>
          </w:rPr>
          <w:t>mail.com</w:t>
        </w:r>
      </w:hyperlink>
    </w:p>
    <w:p w:rsidR="00AE3E37" w:rsidRDefault="00AE3E37">
      <w:pPr>
        <w:jc w:val="center"/>
        <w:rPr>
          <w:rFonts w:ascii="Arial"/>
          <w:sz w:val="14"/>
        </w:rPr>
        <w:sectPr w:rsidR="00AE3E37">
          <w:type w:val="continuous"/>
          <w:pgSz w:w="11910" w:h="16840"/>
          <w:pgMar w:top="1740" w:right="580" w:bottom="840" w:left="620" w:header="720" w:footer="720" w:gutter="0"/>
          <w:cols w:num="2" w:space="720" w:equalWidth="0">
            <w:col w:w="5214" w:space="252"/>
            <w:col w:w="5244"/>
          </w:cols>
        </w:sectPr>
      </w:pPr>
    </w:p>
    <w:p w:rsidR="00AE3E37" w:rsidRDefault="00A9710C">
      <w:pPr>
        <w:pStyle w:val="BodyText"/>
        <w:tabs>
          <w:tab w:val="left" w:pos="5698"/>
          <w:tab w:val="left" w:pos="10302"/>
        </w:tabs>
        <w:spacing w:line="264" w:lineRule="auto"/>
        <w:ind w:left="100" w:right="384"/>
      </w:pPr>
      <w:proofErr w:type="gramStart"/>
      <w:r>
        <w:lastRenderedPageBreak/>
        <w:t>maintaining</w:t>
      </w:r>
      <w:proofErr w:type="gramEnd"/>
      <w:r>
        <w:t xml:space="preserve"> helping relationships. However, these</w:t>
      </w:r>
      <w:r w:rsidR="000E2911">
        <w:t xml:space="preserve"> </w:t>
      </w:r>
      <w:r>
        <w:t>women’s</w:t>
      </w:r>
      <w:r w:rsidR="000E2911">
        <w:t xml:space="preserve"> </w:t>
      </w:r>
      <w:r>
        <w:t>perspective</w:t>
      </w:r>
      <w:r>
        <w:tab/>
      </w:r>
      <w:r>
        <w:rPr>
          <w:u w:val="single" w:color="004080"/>
        </w:rPr>
        <w:tab/>
      </w:r>
      <w:r>
        <w:t xml:space="preserve"> has not been previously studied. The purpose of this study is to</w:t>
      </w:r>
      <w:r w:rsidR="000E2911">
        <w:t xml:space="preserve"> </w:t>
      </w:r>
      <w:r>
        <w:t>describe</w:t>
      </w:r>
    </w:p>
    <w:p w:rsidR="00AE3E37" w:rsidRDefault="00A9710C">
      <w:pPr>
        <w:pStyle w:val="BodyText"/>
        <w:spacing w:line="163" w:lineRule="exact"/>
        <w:ind w:left="100"/>
      </w:pPr>
      <w:proofErr w:type="gramStart"/>
      <w:r>
        <w:t>the</w:t>
      </w:r>
      <w:proofErr w:type="gramEnd"/>
      <w:r>
        <w:t xml:space="preserve"> experience of seeking help for alcohol dependency by women with</w:t>
      </w:r>
    </w:p>
    <w:p w:rsidR="00AE3E37" w:rsidRDefault="00AE3E37">
      <w:pPr>
        <w:spacing w:line="163" w:lineRule="exact"/>
        <w:sectPr w:rsidR="00AE3E37">
          <w:type w:val="continuous"/>
          <w:pgSz w:w="11910" w:h="16840"/>
          <w:pgMar w:top="1740" w:right="580" w:bottom="840" w:left="620" w:header="720" w:footer="720" w:gutter="0"/>
          <w:cols w:space="720"/>
        </w:sectPr>
      </w:pPr>
    </w:p>
    <w:p w:rsidR="00AE3E37" w:rsidRDefault="00A9710C">
      <w:pPr>
        <w:pStyle w:val="BodyText"/>
        <w:spacing w:before="53" w:line="264" w:lineRule="auto"/>
        <w:ind w:left="100"/>
        <w:jc w:val="both"/>
      </w:pPr>
      <w:proofErr w:type="gramStart"/>
      <w:r>
        <w:lastRenderedPageBreak/>
        <w:t>PTSD and a history of IPV in the context in which it occurs.</w:t>
      </w:r>
      <w:proofErr w:type="gramEnd"/>
      <w:r>
        <w:t xml:space="preserve"> Methodology &amp; Theoretical Orientation: </w:t>
      </w:r>
      <w:proofErr w:type="gramStart"/>
      <w:r>
        <w:t>An inter</w:t>
      </w:r>
      <w:proofErr w:type="gramEnd"/>
      <w:r w:rsidR="000E2911">
        <w:t xml:space="preserve"> </w:t>
      </w:r>
      <w:r>
        <w:t>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t>
      </w:r>
      <w:r w:rsidR="000E2911">
        <w:t xml:space="preserve"> </w:t>
      </w:r>
      <w:r>
        <w:t>women</w:t>
      </w:r>
      <w:r w:rsidR="000E2911">
        <w:t xml:space="preserve"> </w:t>
      </w:r>
      <w:r>
        <w:t>in</w:t>
      </w:r>
      <w:r w:rsidR="000E2911">
        <w:t xml:space="preserve"> </w:t>
      </w:r>
      <w:r>
        <w:t>this</w:t>
      </w:r>
      <w:r w:rsidR="000E2911">
        <w:t xml:space="preserve"> </w:t>
      </w:r>
      <w:r>
        <w:t>study</w:t>
      </w:r>
      <w:r w:rsidR="000E2911">
        <w:t xml:space="preserve"> </w:t>
      </w:r>
      <w:r>
        <w:t>were</w:t>
      </w:r>
      <w:r w:rsidR="000E2911">
        <w:t xml:space="preserve"> </w:t>
      </w:r>
      <w:r>
        <w:t>very</w:t>
      </w:r>
      <w:r w:rsidR="000E2911">
        <w:t xml:space="preserve"> </w:t>
      </w:r>
      <w:r>
        <w:t>active</w:t>
      </w:r>
      <w:r w:rsidR="000E2911">
        <w:t xml:space="preserve"> </w:t>
      </w:r>
      <w:r>
        <w:t>help</w:t>
      </w:r>
      <w:r w:rsidR="000E2911">
        <w:t xml:space="preserve"> </w:t>
      </w:r>
      <w:r>
        <w:t>seekers.</w:t>
      </w:r>
      <w:r w:rsidR="000E2911">
        <w:t xml:space="preserve"> </w:t>
      </w:r>
      <w:r>
        <w:t>They</w:t>
      </w:r>
      <w:r w:rsidR="000E2911">
        <w:t xml:space="preserve"> </w:t>
      </w:r>
      <w:r>
        <w:t>encountered many gaps in continuity of care including discharge because of</w:t>
      </w:r>
      <w:r w:rsidR="000E2911">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0E2911">
        <w:t xml:space="preserve"> </w:t>
      </w:r>
      <w:r>
        <w:t>not</w:t>
      </w:r>
      <w:r w:rsidR="000E2911">
        <w:t xml:space="preserve"> </w:t>
      </w:r>
      <w:r>
        <w:t>always</w:t>
      </w:r>
      <w:r w:rsidR="000E2911">
        <w:t xml:space="preserve"> </w:t>
      </w:r>
      <w:r>
        <w:t>recognize</w:t>
      </w:r>
      <w:r w:rsidR="000E2911">
        <w:t xml:space="preserve"> </w:t>
      </w:r>
      <w:r>
        <w:t>their</w:t>
      </w:r>
      <w:r w:rsidR="000E2911">
        <w:t xml:space="preserve"> </w:t>
      </w:r>
      <w:r>
        <w:t>calls</w:t>
      </w:r>
      <w:r w:rsidR="000E2911">
        <w:t xml:space="preserve"> </w:t>
      </w:r>
      <w:r>
        <w:t>for</w:t>
      </w:r>
      <w:r w:rsidR="000E2911">
        <w:t xml:space="preserve"> </w:t>
      </w:r>
      <w:r>
        <w:t>help</w:t>
      </w:r>
      <w:r w:rsidR="000E2911">
        <w:t xml:space="preserve"> </w:t>
      </w:r>
      <w:r>
        <w:t>or</w:t>
      </w:r>
      <w:r w:rsidR="000E2911">
        <w:t xml:space="preserve"> </w:t>
      </w:r>
      <w:r>
        <w:t>their</w:t>
      </w:r>
      <w:r w:rsidR="000E2911">
        <w:t xml:space="preserve"> </w:t>
      </w:r>
      <w:r>
        <w:t>symptoms</w:t>
      </w:r>
      <w:r w:rsidR="000E2911">
        <w:t xml:space="preserve"> </w:t>
      </w:r>
      <w:r>
        <w:t>of</w:t>
      </w:r>
      <w:r w:rsidR="000E2911">
        <w:t xml:space="preserve"> </w:t>
      </w:r>
      <w:r>
        <w:t>distress. Recommendations are made for treatment centers to become trauma- informed that would help this</w:t>
      </w:r>
      <w:r w:rsidR="000E2911">
        <w:t xml:space="preserve"> </w:t>
      </w:r>
      <w:r>
        <w:t>recognition.</w:t>
      </w:r>
    </w:p>
    <w:p w:rsidR="00AE3E37" w:rsidRDefault="00AE3E37">
      <w:pPr>
        <w:pStyle w:val="BodyText"/>
        <w:spacing w:before="5"/>
        <w:rPr>
          <w:sz w:val="17"/>
        </w:rPr>
      </w:pPr>
    </w:p>
    <w:p w:rsidR="00AE3E37" w:rsidRDefault="00A9710C">
      <w:pPr>
        <w:pStyle w:val="Heading3"/>
        <w:jc w:val="both"/>
      </w:pPr>
      <w:r>
        <w:rPr>
          <w:color w:val="BF5A14"/>
        </w:rPr>
        <w:t>Image</w:t>
      </w:r>
    </w:p>
    <w:p w:rsidR="00AE3E37" w:rsidRDefault="00A9710C">
      <w:pPr>
        <w:pStyle w:val="BodyText"/>
        <w:spacing w:before="1"/>
        <w:rPr>
          <w:rFonts w:ascii="Arial"/>
          <w:b/>
          <w:sz w:val="9"/>
        </w:rPr>
      </w:pPr>
      <w:r>
        <w:rPr>
          <w:noProof/>
          <w:lang w:val="en-IN" w:eastAsia="en-IN"/>
        </w:rPr>
        <w:drawing>
          <wp:anchor distT="0" distB="0" distL="0" distR="0" simplePos="0" relativeHeight="1120" behindDoc="0" locked="0" layoutInCell="1" allowOverlap="1">
            <wp:simplePos x="0" y="0"/>
            <wp:positionH relativeFrom="page">
              <wp:posOffset>457200</wp:posOffset>
            </wp:positionH>
            <wp:positionV relativeFrom="paragraph">
              <wp:posOffset>91179</wp:posOffset>
            </wp:positionV>
            <wp:extent cx="3235637" cy="1609725"/>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2" cstate="print"/>
                    <a:stretch>
                      <a:fillRect/>
                    </a:stretch>
                  </pic:blipFill>
                  <pic:spPr>
                    <a:xfrm>
                      <a:off x="0" y="0"/>
                      <a:ext cx="3235637" cy="1609725"/>
                    </a:xfrm>
                    <a:prstGeom prst="rect">
                      <a:avLst/>
                    </a:prstGeom>
                  </pic:spPr>
                </pic:pic>
              </a:graphicData>
            </a:graphic>
          </wp:anchor>
        </w:drawing>
      </w:r>
    </w:p>
    <w:p w:rsidR="00AE3E37" w:rsidRDefault="00AE3E37">
      <w:pPr>
        <w:pStyle w:val="BodyText"/>
        <w:rPr>
          <w:rFonts w:ascii="Arial"/>
          <w:b/>
          <w:sz w:val="20"/>
        </w:rPr>
      </w:pPr>
    </w:p>
    <w:p w:rsidR="00AE3E37" w:rsidRDefault="00AE3E37">
      <w:pPr>
        <w:pStyle w:val="BodyText"/>
        <w:spacing w:before="8"/>
        <w:rPr>
          <w:rFonts w:ascii="Arial"/>
          <w:b/>
          <w:sz w:val="26"/>
        </w:rPr>
      </w:pPr>
    </w:p>
    <w:p w:rsidR="00AE3E37" w:rsidRPr="00B21A57" w:rsidRDefault="00A9710C">
      <w:pPr>
        <w:ind w:left="100"/>
        <w:jc w:val="both"/>
        <w:rPr>
          <w:rFonts w:ascii="Minion Pro"/>
          <w:b/>
          <w:sz w:val="20"/>
        </w:rPr>
      </w:pPr>
      <w:r w:rsidRPr="00B21A57">
        <w:rPr>
          <w:rFonts w:ascii="Minion Pro"/>
          <w:b/>
          <w:sz w:val="20"/>
        </w:rPr>
        <w:t>Notes/Comments:</w:t>
      </w:r>
    </w:p>
    <w:p w:rsidR="00AE3E37" w:rsidRDefault="00A9710C" w:rsidP="00C33602">
      <w:pPr>
        <w:spacing w:line="204" w:lineRule="exact"/>
        <w:rPr>
          <w:rFonts w:ascii="Arial"/>
          <w:b/>
          <w:sz w:val="20"/>
        </w:rPr>
      </w:pPr>
      <w:r>
        <w:br w:type="column"/>
      </w:r>
      <w:r w:rsidR="00414F7B">
        <w:rPr>
          <w:rFonts w:ascii="Arial"/>
          <w:b/>
          <w:color w:val="BF5A14"/>
          <w:sz w:val="20"/>
        </w:rPr>
        <w:lastRenderedPageBreak/>
        <w:t xml:space="preserve">Recent </w:t>
      </w:r>
      <w:r w:rsidR="00C33602">
        <w:rPr>
          <w:rFonts w:ascii="Arial"/>
          <w:b/>
          <w:color w:val="BF5A14"/>
          <w:sz w:val="20"/>
        </w:rPr>
        <w:t>P</w:t>
      </w:r>
      <w:r w:rsidR="00414F7B">
        <w:rPr>
          <w:rFonts w:ascii="Arial"/>
          <w:b/>
          <w:color w:val="BF5A14"/>
          <w:sz w:val="20"/>
        </w:rPr>
        <w:t>ubli</w:t>
      </w:r>
      <w:r w:rsidR="00C33602">
        <w:rPr>
          <w:rFonts w:ascii="Arial"/>
          <w:b/>
          <w:color w:val="BF5A14"/>
          <w:sz w:val="20"/>
        </w:rPr>
        <w:t>cations (minimum 5)</w:t>
      </w:r>
    </w:p>
    <w:p w:rsidR="00AE3E37" w:rsidRDefault="00A9710C">
      <w:pPr>
        <w:pStyle w:val="ListParagraph"/>
        <w:numPr>
          <w:ilvl w:val="0"/>
          <w:numId w:val="1"/>
        </w:numPr>
        <w:tabs>
          <w:tab w:val="left" w:pos="384"/>
        </w:tabs>
        <w:spacing w:before="103" w:line="216" w:lineRule="exact"/>
        <w:ind w:right="138" w:hanging="283"/>
        <w:jc w:val="both"/>
        <w:rPr>
          <w:sz w:val="18"/>
        </w:rPr>
      </w:pPr>
      <w:r>
        <w:rPr>
          <w:sz w:val="18"/>
        </w:rPr>
        <w:t xml:space="preserve">Harper C (2009) </w:t>
      </w:r>
      <w:hyperlink r:id="rId13">
        <w:proofErr w:type="gramStart"/>
        <w:r>
          <w:rPr>
            <w:sz w:val="18"/>
          </w:rPr>
          <w:t>The</w:t>
        </w:r>
        <w:proofErr w:type="gramEnd"/>
        <w:r>
          <w:rPr>
            <w:sz w:val="18"/>
          </w:rPr>
          <w:t xml:space="preserve"> neuropathology of alcohol-related </w:t>
        </w:r>
        <w:proofErr w:type="spellStart"/>
        <w:r>
          <w:rPr>
            <w:sz w:val="18"/>
          </w:rPr>
          <w:t>brain</w:t>
        </w:r>
      </w:hyperlink>
      <w:hyperlink r:id="rId14">
        <w:r>
          <w:rPr>
            <w:sz w:val="18"/>
          </w:rPr>
          <w:t>damage</w:t>
        </w:r>
        <w:proofErr w:type="spellEnd"/>
        <w:r>
          <w:rPr>
            <w:sz w:val="18"/>
          </w:rPr>
          <w:t>.</w:t>
        </w:r>
        <w:r w:rsidR="000E2911">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1"/>
        </w:numPr>
        <w:tabs>
          <w:tab w:val="left" w:pos="384"/>
        </w:tabs>
        <w:spacing w:line="216" w:lineRule="exact"/>
        <w:ind w:right="13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1"/>
        </w:numPr>
        <w:tabs>
          <w:tab w:val="left" w:pos="384"/>
        </w:tabs>
        <w:spacing w:line="216" w:lineRule="exact"/>
        <w:ind w:right="138" w:hanging="283"/>
        <w:jc w:val="both"/>
        <w:rPr>
          <w:sz w:val="18"/>
        </w:rPr>
      </w:pPr>
      <w:proofErr w:type="spellStart"/>
      <w:r>
        <w:rPr>
          <w:sz w:val="18"/>
        </w:rPr>
        <w:t>LiX</w:t>
      </w:r>
      <w:proofErr w:type="spellEnd"/>
      <w:r>
        <w:rPr>
          <w:sz w:val="18"/>
        </w:rPr>
        <w:t>,</w:t>
      </w:r>
      <w:r w:rsidR="000E2911">
        <w:rPr>
          <w:sz w:val="18"/>
        </w:rPr>
        <w:t xml:space="preserve"> </w:t>
      </w:r>
      <w:proofErr w:type="spellStart"/>
      <w:r>
        <w:rPr>
          <w:sz w:val="18"/>
        </w:rPr>
        <w:t>SchwachaMG</w:t>
      </w:r>
      <w:proofErr w:type="spellEnd"/>
      <w:r>
        <w:rPr>
          <w:sz w:val="18"/>
        </w:rPr>
        <w:t>,</w:t>
      </w:r>
      <w:r w:rsidR="000E2911">
        <w:rPr>
          <w:sz w:val="18"/>
        </w:rPr>
        <w:t xml:space="preserve"> </w:t>
      </w:r>
      <w:proofErr w:type="spellStart"/>
      <w:r>
        <w:rPr>
          <w:sz w:val="18"/>
        </w:rPr>
        <w:t>ChaudryIH</w:t>
      </w:r>
      <w:proofErr w:type="spellEnd"/>
      <w:r>
        <w:rPr>
          <w:sz w:val="18"/>
        </w:rPr>
        <w:t>,</w:t>
      </w:r>
      <w:r w:rsidR="000E2911">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5">
        <w:r>
          <w:rPr>
            <w:sz w:val="18"/>
          </w:rPr>
          <w:t>Alcohol and public health.</w:t>
        </w:r>
        <w:r w:rsidR="000E2911">
          <w:rPr>
            <w:sz w:val="18"/>
          </w:rPr>
          <w:t xml:space="preserve"> </w:t>
        </w:r>
        <w:r>
          <w:rPr>
            <w:sz w:val="18"/>
          </w:rPr>
          <w:t>Lancet</w:t>
        </w:r>
      </w:hyperlink>
    </w:p>
    <w:p w:rsidR="00AE3E37" w:rsidRDefault="001A7BAE">
      <w:pPr>
        <w:pStyle w:val="BodyText"/>
        <w:spacing w:line="218" w:lineRule="exact"/>
        <w:ind w:left="383"/>
        <w:rPr>
          <w:rFonts w:ascii="Calibri"/>
        </w:rPr>
      </w:pPr>
      <w:hyperlink r:id="rId16">
        <w:r w:rsidR="00A9710C">
          <w:rPr>
            <w:rFonts w:ascii="Calibri"/>
          </w:rPr>
          <w:t>365: 519-530.</w:t>
        </w:r>
      </w:hyperlink>
    </w:p>
    <w:p w:rsidR="00AE3E37" w:rsidRDefault="00A9710C">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w:t>
      </w:r>
      <w:r w:rsidR="000E2911">
        <w:rPr>
          <w:rFonts w:ascii="Calibri" w:hAnsi="Calibri"/>
        </w:rPr>
        <w:t>tion</w:t>
      </w:r>
      <w:proofErr w:type="spellEnd"/>
      <w:r w:rsidR="000E2911">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7BAE" w:rsidRDefault="001A7BAE">
      <w:r>
        <w:separator/>
      </w:r>
    </w:p>
  </w:endnote>
  <w:endnote w:type="continuationSeparator" w:id="0">
    <w:p w:rsidR="001A7BAE" w:rsidRDefault="001A7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7BAE" w:rsidRDefault="001A7BAE">
      <w:r>
        <w:separator/>
      </w:r>
    </w:p>
  </w:footnote>
  <w:footnote w:type="continuationSeparator" w:id="0">
    <w:p w:rsidR="001A7BAE" w:rsidRDefault="001A7B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7BAE"/>
    <w:rsid w:val="00404E5B"/>
    <w:rsid w:val="00414F7B"/>
    <w:rsid w:val="004167D1"/>
    <w:rsid w:val="004355DC"/>
    <w:rsid w:val="004749B4"/>
    <w:rsid w:val="004B7C5E"/>
    <w:rsid w:val="004F3523"/>
    <w:rsid w:val="005B3A56"/>
    <w:rsid w:val="006060CE"/>
    <w:rsid w:val="0063497F"/>
    <w:rsid w:val="007B184C"/>
    <w:rsid w:val="00873DF0"/>
    <w:rsid w:val="00917DB5"/>
    <w:rsid w:val="009B2D44"/>
    <w:rsid w:val="00A9710C"/>
    <w:rsid w:val="00AE3E37"/>
    <w:rsid w:val="00B21A57"/>
    <w:rsid w:val="00C33602"/>
    <w:rsid w:val="00CD6F55"/>
    <w:rsid w:val="00F72EEA"/>
    <w:rsid w:val="00F84CAE"/>
    <w:rsid w:val="00FB2E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9147798"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ncbi.nlm.nih.gov/pubmed/1570546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deanna.rpm@hotmail.com" TargetMode="External"/><Relationship Id="rId5" Type="http://schemas.openxmlformats.org/officeDocument/2006/relationships/webSettings" Target="webSettings.xml"/><Relationship Id="rId15" Type="http://schemas.openxmlformats.org/officeDocument/2006/relationships/hyperlink" Target="http://www.ncbi.nlm.nih.gov/pubmed/15705462" TargetMode="Externa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91477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Livestock nutrition</cp:lastModifiedBy>
  <cp:revision>2</cp:revision>
  <dcterms:created xsi:type="dcterms:W3CDTF">2016-09-21T08:24:00Z</dcterms:created>
  <dcterms:modified xsi:type="dcterms:W3CDTF">2016-09-21T08:24:00Z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