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471" w:rsidRDefault="00132471" w:rsidP="00132471">
      <w:pPr>
        <w:jc w:val="center"/>
        <w:rPr>
          <w:sz w:val="20"/>
          <w:szCs w:val="20"/>
        </w:rPr>
      </w:pPr>
      <w:bookmarkStart w:id="0" w:name="page1"/>
      <w:bookmarkEnd w:id="0"/>
      <w:r>
        <w:rPr>
          <w:rFonts w:eastAsia="Times New Roman"/>
          <w:b/>
          <w:bCs/>
          <w:u w:val="single"/>
        </w:rPr>
        <w:t>Abstract Template</w:t>
      </w: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27" w:lineRule="exact"/>
        <w:rPr>
          <w:sz w:val="24"/>
          <w:szCs w:val="24"/>
        </w:rPr>
      </w:pPr>
    </w:p>
    <w:p w:rsidR="00132471" w:rsidRDefault="00132471" w:rsidP="00132471">
      <w:pPr>
        <w:spacing w:line="230" w:lineRule="auto"/>
        <w:ind w:right="480"/>
        <w:rPr>
          <w:sz w:val="20"/>
          <w:szCs w:val="20"/>
        </w:rPr>
      </w:pPr>
      <w:r>
        <w:rPr>
          <w:rFonts w:eastAsia="Times New Roman"/>
          <w:b/>
          <w:bCs/>
        </w:rPr>
        <w:t>Title: Identification of new alleles in salinity tolerant rice local cultivars through phenotypic and genotypic screening</w:t>
      </w:r>
    </w:p>
    <w:p w:rsidR="00132471" w:rsidRDefault="00132471" w:rsidP="00132471">
      <w:pPr>
        <w:spacing w:line="204" w:lineRule="exact"/>
        <w:rPr>
          <w:sz w:val="24"/>
          <w:szCs w:val="24"/>
        </w:rPr>
      </w:pPr>
    </w:p>
    <w:p w:rsidR="00132471" w:rsidRDefault="00132471" w:rsidP="00132471">
      <w:pPr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XXXX L</w:t>
      </w:r>
      <w:r>
        <w:rPr>
          <w:rFonts w:eastAsia="Times New Roman"/>
          <w:b/>
          <w:bCs/>
          <w:sz w:val="31"/>
          <w:szCs w:val="31"/>
          <w:vertAlign w:val="superscript"/>
        </w:rPr>
        <w:t>1</w:t>
      </w:r>
      <w:r>
        <w:rPr>
          <w:rFonts w:eastAsia="Times New Roman"/>
          <w:b/>
          <w:bCs/>
          <w:sz w:val="19"/>
          <w:szCs w:val="19"/>
        </w:rPr>
        <w:t>, XXXXX ES</w:t>
      </w:r>
      <w:hyperlink r:id="rId6" w:anchor="a1">
        <w:r>
          <w:rPr>
            <w:rFonts w:eastAsia="Times New Roman"/>
            <w:b/>
            <w:bCs/>
            <w:sz w:val="31"/>
            <w:szCs w:val="31"/>
            <w:vertAlign w:val="superscript"/>
          </w:rPr>
          <w:t>1</w:t>
        </w:r>
        <w:r>
          <w:rPr>
            <w:rFonts w:eastAsia="Times New Roman"/>
            <w:b/>
            <w:bCs/>
            <w:sz w:val="19"/>
            <w:szCs w:val="19"/>
          </w:rPr>
          <w:t xml:space="preserve">, </w:t>
        </w:r>
      </w:hyperlink>
      <w:r>
        <w:rPr>
          <w:rFonts w:eastAsia="Times New Roman"/>
          <w:b/>
          <w:bCs/>
          <w:sz w:val="19"/>
          <w:szCs w:val="19"/>
        </w:rPr>
        <w:t>XXXX ALD</w:t>
      </w:r>
      <w:r>
        <w:rPr>
          <w:rFonts w:eastAsia="Times New Roman"/>
          <w:b/>
          <w:bCs/>
          <w:sz w:val="31"/>
          <w:szCs w:val="31"/>
          <w:vertAlign w:val="superscript"/>
        </w:rPr>
        <w:t>1, 2</w:t>
      </w:r>
      <w:r>
        <w:rPr>
          <w:rFonts w:eastAsia="Times New Roman"/>
          <w:b/>
          <w:bCs/>
          <w:sz w:val="19"/>
          <w:szCs w:val="19"/>
        </w:rPr>
        <w:t>,</w:t>
      </w:r>
    </w:p>
    <w:p w:rsidR="00132471" w:rsidRDefault="00132471" w:rsidP="00132471">
      <w:pPr>
        <w:spacing w:line="182" w:lineRule="auto"/>
        <w:rPr>
          <w:sz w:val="20"/>
          <w:szCs w:val="20"/>
        </w:rPr>
      </w:pPr>
      <w:r>
        <w:rPr>
          <w:rFonts w:eastAsia="Times New Roman"/>
          <w:sz w:val="28"/>
          <w:szCs w:val="28"/>
          <w:vertAlign w:val="superscript"/>
        </w:rPr>
        <w:t>1</w:t>
      </w:r>
      <w:r>
        <w:rPr>
          <w:rFonts w:eastAsia="Times New Roman"/>
          <w:sz w:val="18"/>
          <w:szCs w:val="18"/>
        </w:rPr>
        <w:t>Department of Crop Improvement, International Rice Research Institute, Manila, Philippines</w:t>
      </w:r>
    </w:p>
    <w:p w:rsidR="00132471" w:rsidRDefault="00132471" w:rsidP="00132471">
      <w:pPr>
        <w:spacing w:line="181" w:lineRule="auto"/>
        <w:rPr>
          <w:sz w:val="20"/>
          <w:szCs w:val="20"/>
        </w:rPr>
      </w:pPr>
      <w:r>
        <w:rPr>
          <w:rFonts w:eastAsia="Times New Roman"/>
          <w:sz w:val="20"/>
          <w:szCs w:val="20"/>
          <w:vertAlign w:val="superscript"/>
        </w:rPr>
        <w:t>2</w:t>
      </w:r>
    </w:p>
    <w:p w:rsidR="00132471" w:rsidRDefault="00132471" w:rsidP="00132471">
      <w:pPr>
        <w:sectPr w:rsidR="00132471">
          <w:pgSz w:w="11900" w:h="16834"/>
          <w:pgMar w:top="1070" w:right="719" w:bottom="0" w:left="740" w:header="0" w:footer="0" w:gutter="0"/>
          <w:cols w:space="720" w:equalWidth="0">
            <w:col w:w="10440"/>
          </w:cols>
        </w:sect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351" w:lineRule="exact"/>
        <w:rPr>
          <w:sz w:val="24"/>
          <w:szCs w:val="24"/>
        </w:rPr>
      </w:pPr>
    </w:p>
    <w:p w:rsidR="00132471" w:rsidRDefault="00132471" w:rsidP="00132471">
      <w:pPr>
        <w:spacing w:line="234" w:lineRule="auto"/>
        <w:ind w:right="680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>Keywords: Rice lines, Salt stress, Microsatellite (SSR) marker, Protein analysis, Gene expression</w:t>
      </w: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59" w:lineRule="exact"/>
        <w:rPr>
          <w:sz w:val="24"/>
          <w:szCs w:val="24"/>
        </w:rPr>
      </w:pPr>
    </w:p>
    <w:p w:rsidR="00132471" w:rsidRDefault="00132471" w:rsidP="00132471">
      <w:pPr>
        <w:numPr>
          <w:ilvl w:val="0"/>
          <w:numId w:val="1"/>
        </w:numPr>
        <w:tabs>
          <w:tab w:val="left" w:pos="1440"/>
        </w:tabs>
        <w:ind w:left="1440" w:hanging="45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Abstract Body (up to 250 words)</w:t>
      </w:r>
    </w:p>
    <w:p w:rsidR="00132471" w:rsidRDefault="00132471" w:rsidP="00132471">
      <w:pPr>
        <w:spacing w:line="130" w:lineRule="exact"/>
        <w:rPr>
          <w:sz w:val="24"/>
          <w:szCs w:val="24"/>
        </w:rPr>
      </w:pPr>
    </w:p>
    <w:p w:rsidR="00132471" w:rsidRDefault="00132471" w:rsidP="00132471">
      <w:pPr>
        <w:spacing w:line="238" w:lineRule="auto"/>
        <w:jc w:val="both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The present study investigated eight rice lines (</w:t>
      </w:r>
      <w:proofErr w:type="spellStart"/>
      <w:r>
        <w:rPr>
          <w:rFonts w:eastAsia="Times New Roman"/>
          <w:sz w:val="19"/>
          <w:szCs w:val="19"/>
        </w:rPr>
        <w:t>Rupsal</w:t>
      </w:r>
      <w:proofErr w:type="spellEnd"/>
      <w:r>
        <w:rPr>
          <w:rFonts w:eastAsia="Times New Roman"/>
          <w:sz w:val="19"/>
          <w:szCs w:val="19"/>
        </w:rPr>
        <w:t xml:space="preserve">, </w:t>
      </w:r>
      <w:proofErr w:type="spellStart"/>
      <w:r>
        <w:rPr>
          <w:rFonts w:eastAsia="Times New Roman"/>
          <w:sz w:val="19"/>
          <w:szCs w:val="19"/>
        </w:rPr>
        <w:t>Nagalmutha</w:t>
      </w:r>
      <w:proofErr w:type="spellEnd"/>
      <w:r>
        <w:rPr>
          <w:rFonts w:eastAsia="Times New Roman"/>
          <w:sz w:val="19"/>
          <w:szCs w:val="19"/>
        </w:rPr>
        <w:t xml:space="preserve">, </w:t>
      </w:r>
      <w:proofErr w:type="spellStart"/>
      <w:r>
        <w:rPr>
          <w:rFonts w:eastAsia="Times New Roman"/>
          <w:sz w:val="19"/>
          <w:szCs w:val="19"/>
        </w:rPr>
        <w:t>Polai</w:t>
      </w:r>
      <w:proofErr w:type="spellEnd"/>
      <w:r>
        <w:rPr>
          <w:rFonts w:eastAsia="Times New Roman"/>
          <w:sz w:val="19"/>
          <w:szCs w:val="19"/>
        </w:rPr>
        <w:t xml:space="preserve">, </w:t>
      </w:r>
      <w:proofErr w:type="spellStart"/>
      <w:r>
        <w:rPr>
          <w:rFonts w:eastAsia="Times New Roman"/>
          <w:sz w:val="19"/>
          <w:szCs w:val="19"/>
        </w:rPr>
        <w:t>Ravana</w:t>
      </w:r>
      <w:proofErr w:type="spellEnd"/>
      <w:r>
        <w:rPr>
          <w:rFonts w:eastAsia="Times New Roman"/>
          <w:sz w:val="19"/>
          <w:szCs w:val="19"/>
        </w:rPr>
        <w:t xml:space="preserve">, </w:t>
      </w:r>
      <w:proofErr w:type="spellStart"/>
      <w:r>
        <w:rPr>
          <w:rFonts w:eastAsia="Times New Roman"/>
          <w:sz w:val="19"/>
          <w:szCs w:val="19"/>
        </w:rPr>
        <w:t>Marishal</w:t>
      </w:r>
      <w:proofErr w:type="spellEnd"/>
      <w:r>
        <w:rPr>
          <w:rFonts w:eastAsia="Times New Roman"/>
          <w:sz w:val="19"/>
          <w:szCs w:val="19"/>
        </w:rPr>
        <w:t xml:space="preserve">, </w:t>
      </w:r>
      <w:proofErr w:type="spellStart"/>
      <w:r>
        <w:rPr>
          <w:rFonts w:eastAsia="Times New Roman"/>
          <w:sz w:val="19"/>
          <w:szCs w:val="19"/>
        </w:rPr>
        <w:t>Talmugra</w:t>
      </w:r>
      <w:proofErr w:type="spellEnd"/>
      <w:r>
        <w:rPr>
          <w:rFonts w:eastAsia="Times New Roman"/>
          <w:sz w:val="19"/>
          <w:szCs w:val="19"/>
        </w:rPr>
        <w:t xml:space="preserve">, </w:t>
      </w:r>
      <w:proofErr w:type="spellStart"/>
      <w:r>
        <w:rPr>
          <w:rFonts w:eastAsia="Times New Roman"/>
          <w:sz w:val="19"/>
          <w:szCs w:val="19"/>
        </w:rPr>
        <w:t>Kamini</w:t>
      </w:r>
      <w:proofErr w:type="spellEnd"/>
      <w:r>
        <w:rPr>
          <w:rFonts w:eastAsia="Times New Roman"/>
          <w:sz w:val="19"/>
          <w:szCs w:val="19"/>
        </w:rPr>
        <w:t xml:space="preserve"> and </w:t>
      </w:r>
      <w:proofErr w:type="spellStart"/>
      <w:r>
        <w:rPr>
          <w:rFonts w:eastAsia="Times New Roman"/>
          <w:sz w:val="19"/>
          <w:szCs w:val="19"/>
        </w:rPr>
        <w:t>Raspanjar</w:t>
      </w:r>
      <w:proofErr w:type="spellEnd"/>
      <w:r>
        <w:rPr>
          <w:rFonts w:eastAsia="Times New Roman"/>
          <w:sz w:val="19"/>
          <w:szCs w:val="19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rFonts w:eastAsia="Times New Roman"/>
          <w:sz w:val="19"/>
          <w:szCs w:val="19"/>
        </w:rPr>
        <w:t>Talmugra</w:t>
      </w:r>
      <w:proofErr w:type="spellEnd"/>
      <w:r>
        <w:rPr>
          <w:rFonts w:eastAsia="Times New Roman"/>
          <w:sz w:val="19"/>
          <w:szCs w:val="19"/>
        </w:rPr>
        <w:t xml:space="preserve">, </w:t>
      </w:r>
      <w:proofErr w:type="spellStart"/>
      <w:r>
        <w:rPr>
          <w:rFonts w:eastAsia="Times New Roman"/>
          <w:sz w:val="19"/>
          <w:szCs w:val="19"/>
        </w:rPr>
        <w:t>Marishal</w:t>
      </w:r>
      <w:proofErr w:type="spellEnd"/>
      <w:r>
        <w:rPr>
          <w:rFonts w:eastAsia="Times New Roman"/>
          <w:sz w:val="19"/>
          <w:szCs w:val="19"/>
        </w:rPr>
        <w:t xml:space="preserve"> and </w:t>
      </w:r>
      <w:proofErr w:type="spellStart"/>
      <w:r>
        <w:rPr>
          <w:rFonts w:eastAsia="Times New Roman"/>
          <w:sz w:val="19"/>
          <w:szCs w:val="19"/>
        </w:rPr>
        <w:t>Kamini</w:t>
      </w:r>
      <w:proofErr w:type="spellEnd"/>
      <w:r>
        <w:rPr>
          <w:rFonts w:eastAsia="Times New Roman"/>
          <w:sz w:val="19"/>
          <w:szCs w:val="19"/>
        </w:rPr>
        <w:t>), three tolerant (</w:t>
      </w:r>
      <w:proofErr w:type="spellStart"/>
      <w:r>
        <w:rPr>
          <w:rFonts w:eastAsia="Times New Roman"/>
          <w:sz w:val="19"/>
          <w:szCs w:val="19"/>
        </w:rPr>
        <w:t>Rupsal</w:t>
      </w:r>
      <w:proofErr w:type="spellEnd"/>
      <w:r>
        <w:rPr>
          <w:rFonts w:eastAsia="Times New Roman"/>
          <w:sz w:val="19"/>
          <w:szCs w:val="19"/>
        </w:rPr>
        <w:t xml:space="preserve">, </w:t>
      </w:r>
      <w:proofErr w:type="spellStart"/>
      <w:r>
        <w:rPr>
          <w:rFonts w:eastAsia="Times New Roman"/>
          <w:sz w:val="19"/>
          <w:szCs w:val="19"/>
        </w:rPr>
        <w:t>Polai</w:t>
      </w:r>
      <w:proofErr w:type="spellEnd"/>
      <w:r>
        <w:rPr>
          <w:rFonts w:eastAsia="Times New Roman"/>
          <w:sz w:val="19"/>
          <w:szCs w:val="19"/>
        </w:rPr>
        <w:t xml:space="preserve"> and </w:t>
      </w:r>
      <w:proofErr w:type="spellStart"/>
      <w:r>
        <w:rPr>
          <w:rFonts w:eastAsia="Times New Roman"/>
          <w:sz w:val="19"/>
          <w:szCs w:val="19"/>
        </w:rPr>
        <w:t>Raspanjar</w:t>
      </w:r>
      <w:proofErr w:type="spellEnd"/>
      <w:r>
        <w:rPr>
          <w:rFonts w:eastAsia="Times New Roman"/>
          <w:sz w:val="19"/>
          <w:szCs w:val="19"/>
        </w:rPr>
        <w:t>) and two moderately tolerant (</w:t>
      </w:r>
      <w:proofErr w:type="spellStart"/>
      <w:r>
        <w:rPr>
          <w:rFonts w:eastAsia="Times New Roman"/>
          <w:sz w:val="19"/>
          <w:szCs w:val="19"/>
        </w:rPr>
        <w:t>Ravana</w:t>
      </w:r>
      <w:proofErr w:type="spellEnd"/>
      <w:r>
        <w:rPr>
          <w:rFonts w:eastAsia="Times New Roman"/>
          <w:sz w:val="19"/>
          <w:szCs w:val="19"/>
        </w:rPr>
        <w:t xml:space="preserve"> and </w:t>
      </w:r>
      <w:proofErr w:type="spellStart"/>
      <w:r>
        <w:rPr>
          <w:rFonts w:eastAsia="Times New Roman"/>
          <w:sz w:val="19"/>
          <w:szCs w:val="19"/>
        </w:rPr>
        <w:t>Nagalmutha</w:t>
      </w:r>
      <w:proofErr w:type="spellEnd"/>
      <w:r>
        <w:rPr>
          <w:rFonts w:eastAsia="Times New Roman"/>
          <w:sz w:val="19"/>
          <w:szCs w:val="19"/>
        </w:rPr>
        <w:t xml:space="preserve">) to salt stress were identified in phenotypic screening. </w:t>
      </w:r>
      <w:proofErr w:type="spellStart"/>
      <w:r>
        <w:rPr>
          <w:rFonts w:eastAsia="Times New Roman"/>
          <w:sz w:val="19"/>
          <w:szCs w:val="19"/>
        </w:rPr>
        <w:t>Pokkali</w:t>
      </w:r>
      <w:proofErr w:type="spellEnd"/>
      <w:r>
        <w:rPr>
          <w:rFonts w:eastAsia="Times New Roman"/>
          <w:sz w:val="19"/>
          <w:szCs w:val="19"/>
        </w:rPr>
        <w:t xml:space="preserve"> was categorized as tolerant under salinity condition (12 EC </w:t>
      </w:r>
      <w:proofErr w:type="spellStart"/>
      <w:r>
        <w:rPr>
          <w:rFonts w:eastAsia="Times New Roman"/>
          <w:sz w:val="19"/>
          <w:szCs w:val="19"/>
        </w:rPr>
        <w:t>dS</w:t>
      </w:r>
      <w:proofErr w:type="spellEnd"/>
      <w:r>
        <w:rPr>
          <w:rFonts w:eastAsia="Times New Roman"/>
          <w:sz w:val="19"/>
          <w:szCs w:val="19"/>
        </w:rPr>
        <w:t xml:space="preserve"> m-1). In PCR screening using microsatellite (SSR) markers located within </w:t>
      </w:r>
      <w:proofErr w:type="spellStart"/>
      <w:r>
        <w:rPr>
          <w:rFonts w:eastAsia="Times New Roman"/>
          <w:sz w:val="19"/>
          <w:szCs w:val="19"/>
        </w:rPr>
        <w:t>Saltol</w:t>
      </w:r>
      <w:proofErr w:type="spellEnd"/>
      <w:r>
        <w:rPr>
          <w:rFonts w:eastAsia="Times New Roman"/>
          <w:sz w:val="19"/>
          <w:szCs w:val="19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rFonts w:eastAsia="Times New Roman"/>
          <w:sz w:val="19"/>
          <w:szCs w:val="19"/>
        </w:rPr>
        <w:t>Pokkali</w:t>
      </w:r>
      <w:proofErr w:type="spellEnd"/>
      <w:r>
        <w:rPr>
          <w:rFonts w:eastAsia="Times New Roman"/>
          <w:sz w:val="19"/>
          <w:szCs w:val="19"/>
        </w:rPr>
        <w:t xml:space="preserve">. Besides, another marker RM10694 was found to associate with selection of salinity tolerant genotypes similar to </w:t>
      </w:r>
      <w:proofErr w:type="spellStart"/>
      <w:r>
        <w:rPr>
          <w:rFonts w:eastAsia="Times New Roman"/>
          <w:sz w:val="19"/>
          <w:szCs w:val="19"/>
        </w:rPr>
        <w:t>Pokkali</w:t>
      </w:r>
      <w:proofErr w:type="spellEnd"/>
      <w:r>
        <w:rPr>
          <w:rFonts w:eastAsia="Times New Roman"/>
          <w:sz w:val="19"/>
          <w:szCs w:val="19"/>
        </w:rPr>
        <w:t xml:space="preserve">. In gene expression studies, no significant difference linked with </w:t>
      </w:r>
      <w:proofErr w:type="spellStart"/>
      <w:r>
        <w:rPr>
          <w:rFonts w:eastAsia="Times New Roman"/>
          <w:sz w:val="19"/>
          <w:szCs w:val="19"/>
        </w:rPr>
        <w:t>abscisic</w:t>
      </w:r>
      <w:proofErr w:type="spellEnd"/>
      <w:r>
        <w:rPr>
          <w:rFonts w:eastAsia="Times New Roman"/>
          <w:sz w:val="19"/>
          <w:szCs w:val="19"/>
        </w:rPr>
        <w:t xml:space="preserve"> acid (ABA), </w:t>
      </w:r>
      <w:proofErr w:type="spellStart"/>
      <w:r>
        <w:rPr>
          <w:rFonts w:eastAsia="Times New Roman"/>
          <w:sz w:val="19"/>
          <w:szCs w:val="19"/>
        </w:rPr>
        <w:t>calciumdependent</w:t>
      </w:r>
      <w:proofErr w:type="spellEnd"/>
      <w:r>
        <w:rPr>
          <w:rFonts w:eastAsia="Times New Roman"/>
          <w:sz w:val="19"/>
          <w:szCs w:val="19"/>
        </w:rPr>
        <w:t xml:space="preserve"> proteins kinase (CDPK), ionic and osmotic </w:t>
      </w:r>
      <w:proofErr w:type="spellStart"/>
      <w:r>
        <w:rPr>
          <w:rFonts w:eastAsia="Times New Roman"/>
          <w:sz w:val="19"/>
          <w:szCs w:val="19"/>
        </w:rPr>
        <w:t>signaling</w:t>
      </w:r>
      <w:proofErr w:type="spellEnd"/>
      <w:r>
        <w:rPr>
          <w:rFonts w:eastAsia="Times New Roman"/>
          <w:sz w:val="19"/>
          <w:szCs w:val="19"/>
        </w:rPr>
        <w:t xml:space="preserve"> pathways in salinity tolerant genotypes was found as compared to sensitive line (IR29). Induction of AP37 gene expression differentiated </w:t>
      </w:r>
      <w:proofErr w:type="spellStart"/>
      <w:r>
        <w:rPr>
          <w:rFonts w:eastAsia="Times New Roman"/>
          <w:sz w:val="19"/>
          <w:szCs w:val="19"/>
        </w:rPr>
        <w:t>Kamini</w:t>
      </w:r>
      <w:proofErr w:type="spellEnd"/>
      <w:r>
        <w:rPr>
          <w:rFonts w:eastAsia="Times New Roman"/>
          <w:sz w:val="19"/>
          <w:szCs w:val="19"/>
        </w:rPr>
        <w:t xml:space="preserve"> and </w:t>
      </w:r>
      <w:proofErr w:type="spellStart"/>
      <w:r>
        <w:rPr>
          <w:rFonts w:eastAsia="Times New Roman"/>
          <w:sz w:val="19"/>
          <w:szCs w:val="19"/>
        </w:rPr>
        <w:t>Marishal</w:t>
      </w:r>
      <w:proofErr w:type="spellEnd"/>
      <w:r>
        <w:rPr>
          <w:rFonts w:eastAsia="Times New Roman"/>
          <w:sz w:val="19"/>
          <w:szCs w:val="19"/>
        </w:rPr>
        <w:t xml:space="preserve"> genotypes from other tolerant and sensitive lines.</w:t>
      </w:r>
    </w:p>
    <w:p w:rsidR="00132471" w:rsidRDefault="00132471" w:rsidP="00132471">
      <w:pPr>
        <w:spacing w:line="249" w:lineRule="exact"/>
        <w:rPr>
          <w:sz w:val="24"/>
          <w:szCs w:val="24"/>
        </w:rPr>
      </w:pPr>
    </w:p>
    <w:p w:rsidR="00132471" w:rsidRDefault="00132471" w:rsidP="00132471">
      <w:pPr>
        <w:numPr>
          <w:ilvl w:val="0"/>
          <w:numId w:val="2"/>
        </w:numPr>
        <w:tabs>
          <w:tab w:val="left" w:pos="1480"/>
        </w:tabs>
        <w:ind w:left="1480" w:hanging="49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Image:</w:t>
      </w:r>
    </w:p>
    <w:p w:rsidR="00132471" w:rsidRDefault="00132471" w:rsidP="0013247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1D4873ED" wp14:editId="7F9402C4">
            <wp:simplePos x="0" y="0"/>
            <wp:positionH relativeFrom="column">
              <wp:posOffset>-2540</wp:posOffset>
            </wp:positionH>
            <wp:positionV relativeFrom="paragraph">
              <wp:posOffset>133985</wp:posOffset>
            </wp:positionV>
            <wp:extent cx="2620010" cy="21799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2179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2471" w:rsidRDefault="00132471" w:rsidP="0013247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309" w:lineRule="exact"/>
        <w:rPr>
          <w:sz w:val="24"/>
          <w:szCs w:val="24"/>
        </w:rPr>
      </w:pPr>
    </w:p>
    <w:p w:rsidR="00132471" w:rsidRDefault="00132471" w:rsidP="00132471">
      <w:pPr>
        <w:numPr>
          <w:ilvl w:val="1"/>
          <w:numId w:val="3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Reference:</w:t>
      </w:r>
    </w:p>
    <w:p w:rsidR="00132471" w:rsidRDefault="00132471" w:rsidP="00132471">
      <w:pPr>
        <w:spacing w:line="235" w:lineRule="exact"/>
        <w:rPr>
          <w:rFonts w:eastAsia="Times New Roman"/>
          <w:b/>
          <w:bCs/>
          <w:sz w:val="19"/>
          <w:szCs w:val="19"/>
        </w:rPr>
      </w:pPr>
    </w:p>
    <w:p w:rsidR="00132471" w:rsidRDefault="00132471" w:rsidP="00132471">
      <w:pPr>
        <w:numPr>
          <w:ilvl w:val="0"/>
          <w:numId w:val="4"/>
        </w:numPr>
        <w:tabs>
          <w:tab w:val="left" w:pos="723"/>
        </w:tabs>
        <w:spacing w:line="241" w:lineRule="auto"/>
        <w:ind w:left="723" w:right="160" w:hanging="363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Tester, M. and R. Davenport, 2003. Na+ tolerance and Na+ transport in higher plants. Ann. Bot., 91; 503–527</w:t>
      </w:r>
    </w:p>
    <w:p w:rsidR="00132471" w:rsidRDefault="00132471" w:rsidP="00132471">
      <w:pPr>
        <w:spacing w:line="227" w:lineRule="exact"/>
        <w:rPr>
          <w:sz w:val="24"/>
          <w:szCs w:val="24"/>
        </w:rPr>
      </w:pPr>
    </w:p>
    <w:p w:rsidR="00132471" w:rsidRDefault="00132471" w:rsidP="00132471">
      <w:pPr>
        <w:numPr>
          <w:ilvl w:val="0"/>
          <w:numId w:val="5"/>
        </w:numPr>
        <w:tabs>
          <w:tab w:val="left" w:pos="723"/>
        </w:tabs>
        <w:spacing w:line="236" w:lineRule="auto"/>
        <w:ind w:left="723" w:right="240" w:hanging="363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 xml:space="preserve">Thomson, M.J., M. de </w:t>
      </w:r>
      <w:proofErr w:type="spellStart"/>
      <w:r>
        <w:rPr>
          <w:rFonts w:eastAsia="Times New Roman"/>
          <w:sz w:val="19"/>
          <w:szCs w:val="19"/>
        </w:rPr>
        <w:t>Ocampo</w:t>
      </w:r>
      <w:proofErr w:type="spellEnd"/>
      <w:r>
        <w:rPr>
          <w:rFonts w:eastAsia="Times New Roman"/>
          <w:sz w:val="19"/>
          <w:szCs w:val="19"/>
        </w:rPr>
        <w:t xml:space="preserve">, J. </w:t>
      </w:r>
      <w:proofErr w:type="spellStart"/>
      <w:r>
        <w:rPr>
          <w:rFonts w:eastAsia="Times New Roman"/>
          <w:sz w:val="19"/>
          <w:szCs w:val="19"/>
        </w:rPr>
        <w:t>Egdane</w:t>
      </w:r>
      <w:proofErr w:type="spellEnd"/>
      <w:r>
        <w:rPr>
          <w:rFonts w:eastAsia="Times New Roman"/>
          <w:sz w:val="19"/>
          <w:szCs w:val="19"/>
        </w:rPr>
        <w:t xml:space="preserve">, M.A. </w:t>
      </w:r>
      <w:proofErr w:type="spellStart"/>
      <w:r>
        <w:rPr>
          <w:rFonts w:eastAsia="Times New Roman"/>
          <w:sz w:val="19"/>
          <w:szCs w:val="19"/>
        </w:rPr>
        <w:t>Rahman</w:t>
      </w:r>
      <w:proofErr w:type="spellEnd"/>
      <w:r>
        <w:rPr>
          <w:rFonts w:eastAsia="Times New Roman"/>
          <w:sz w:val="19"/>
          <w:szCs w:val="19"/>
        </w:rPr>
        <w:t xml:space="preserve">, A.G. </w:t>
      </w:r>
      <w:proofErr w:type="spellStart"/>
      <w:r>
        <w:rPr>
          <w:rFonts w:eastAsia="Times New Roman"/>
          <w:sz w:val="19"/>
          <w:szCs w:val="19"/>
        </w:rPr>
        <w:t>Sajise</w:t>
      </w:r>
      <w:proofErr w:type="spellEnd"/>
      <w:r>
        <w:rPr>
          <w:rFonts w:eastAsia="Times New Roman"/>
          <w:sz w:val="19"/>
          <w:szCs w:val="19"/>
        </w:rPr>
        <w:t xml:space="preserve">, D.L. </w:t>
      </w:r>
      <w:proofErr w:type="spellStart"/>
      <w:r>
        <w:rPr>
          <w:rFonts w:eastAsia="Times New Roman"/>
          <w:sz w:val="19"/>
          <w:szCs w:val="19"/>
        </w:rPr>
        <w:t>Adorada</w:t>
      </w:r>
      <w:proofErr w:type="spellEnd"/>
      <w:r>
        <w:rPr>
          <w:rFonts w:eastAsia="Times New Roman"/>
          <w:sz w:val="19"/>
          <w:szCs w:val="19"/>
        </w:rPr>
        <w:t xml:space="preserve">, R.K. Singh, G.B. Gregorio and A.M. Ismail, 2010. Characterizing the </w:t>
      </w:r>
      <w:proofErr w:type="spellStart"/>
      <w:r>
        <w:rPr>
          <w:rFonts w:eastAsia="Times New Roman"/>
          <w:sz w:val="19"/>
          <w:szCs w:val="19"/>
        </w:rPr>
        <w:t>saltol</w:t>
      </w:r>
      <w:proofErr w:type="spellEnd"/>
      <w:r>
        <w:rPr>
          <w:rFonts w:eastAsia="Times New Roman"/>
          <w:sz w:val="19"/>
          <w:szCs w:val="19"/>
        </w:rPr>
        <w:t xml:space="preserve"> quantitative trait locus for salinity tolerance in rice. Rice, 3: 148–160</w:t>
      </w:r>
    </w:p>
    <w:p w:rsidR="00132471" w:rsidRDefault="00132471" w:rsidP="00132471">
      <w:pPr>
        <w:spacing w:line="246" w:lineRule="exact"/>
        <w:rPr>
          <w:rFonts w:eastAsia="Times New Roman"/>
          <w:sz w:val="19"/>
          <w:szCs w:val="19"/>
        </w:rPr>
      </w:pPr>
    </w:p>
    <w:p w:rsidR="00132471" w:rsidRDefault="00132471" w:rsidP="00132471">
      <w:pPr>
        <w:numPr>
          <w:ilvl w:val="0"/>
          <w:numId w:val="5"/>
        </w:numPr>
        <w:tabs>
          <w:tab w:val="left" w:pos="723"/>
        </w:tabs>
        <w:spacing w:line="236" w:lineRule="auto"/>
        <w:ind w:left="723" w:right="80" w:hanging="363"/>
        <w:rPr>
          <w:rFonts w:eastAsia="Times New Roman"/>
          <w:sz w:val="19"/>
          <w:szCs w:val="19"/>
        </w:rPr>
      </w:pPr>
      <w:proofErr w:type="spellStart"/>
      <w:r>
        <w:rPr>
          <w:rFonts w:eastAsia="Times New Roman"/>
          <w:sz w:val="19"/>
          <w:szCs w:val="19"/>
        </w:rPr>
        <w:t>Senguttuvel</w:t>
      </w:r>
      <w:proofErr w:type="spellEnd"/>
      <w:r>
        <w:rPr>
          <w:rFonts w:eastAsia="Times New Roman"/>
          <w:sz w:val="19"/>
          <w:szCs w:val="19"/>
        </w:rPr>
        <w:t xml:space="preserve">, P., M. </w:t>
      </w:r>
      <w:proofErr w:type="spellStart"/>
      <w:r>
        <w:rPr>
          <w:rFonts w:eastAsia="Times New Roman"/>
          <w:sz w:val="19"/>
          <w:szCs w:val="19"/>
        </w:rPr>
        <w:t>Raveendran</w:t>
      </w:r>
      <w:proofErr w:type="spellEnd"/>
      <w:r>
        <w:rPr>
          <w:rFonts w:eastAsia="Times New Roman"/>
          <w:sz w:val="19"/>
          <w:szCs w:val="19"/>
        </w:rPr>
        <w:t xml:space="preserve">, C. </w:t>
      </w:r>
      <w:proofErr w:type="spellStart"/>
      <w:r>
        <w:rPr>
          <w:rFonts w:eastAsia="Times New Roman"/>
          <w:sz w:val="19"/>
          <w:szCs w:val="19"/>
        </w:rPr>
        <w:t>Vijayalakshmi</w:t>
      </w:r>
      <w:proofErr w:type="spellEnd"/>
      <w:r>
        <w:rPr>
          <w:rFonts w:eastAsia="Times New Roman"/>
          <w:sz w:val="19"/>
          <w:szCs w:val="19"/>
        </w:rPr>
        <w:t xml:space="preserve">, K. </w:t>
      </w:r>
      <w:proofErr w:type="spellStart"/>
      <w:r>
        <w:rPr>
          <w:rFonts w:eastAsia="Times New Roman"/>
          <w:sz w:val="19"/>
          <w:szCs w:val="19"/>
        </w:rPr>
        <w:t>Thiyagarajan</w:t>
      </w:r>
      <w:proofErr w:type="spellEnd"/>
      <w:r>
        <w:rPr>
          <w:rFonts w:eastAsia="Times New Roman"/>
          <w:sz w:val="19"/>
          <w:szCs w:val="19"/>
        </w:rPr>
        <w:t xml:space="preserve">, J.R.K. </w:t>
      </w:r>
      <w:proofErr w:type="spellStart"/>
      <w:r>
        <w:rPr>
          <w:rFonts w:eastAsia="Times New Roman"/>
          <w:sz w:val="19"/>
          <w:szCs w:val="19"/>
        </w:rPr>
        <w:t>Bapu</w:t>
      </w:r>
      <w:proofErr w:type="spellEnd"/>
      <w:r>
        <w:rPr>
          <w:rFonts w:eastAsia="Times New Roman"/>
          <w:sz w:val="19"/>
          <w:szCs w:val="19"/>
        </w:rPr>
        <w:t xml:space="preserve"> and B.C. </w:t>
      </w:r>
      <w:proofErr w:type="spellStart"/>
      <w:r>
        <w:rPr>
          <w:rFonts w:eastAsia="Times New Roman"/>
          <w:sz w:val="19"/>
          <w:szCs w:val="19"/>
        </w:rPr>
        <w:t>Viraktamath</w:t>
      </w:r>
      <w:proofErr w:type="spellEnd"/>
      <w:r>
        <w:rPr>
          <w:rFonts w:eastAsia="Times New Roman"/>
          <w:sz w:val="19"/>
          <w:szCs w:val="19"/>
        </w:rPr>
        <w:t>, 2010. Molecular mechanism of salt tolerance for genetic diversity analysed in association with Na+/K+ ratio through SSR markers in rice (</w:t>
      </w:r>
      <w:proofErr w:type="spellStart"/>
      <w:r>
        <w:rPr>
          <w:rFonts w:eastAsia="Times New Roman"/>
          <w:sz w:val="19"/>
          <w:szCs w:val="19"/>
        </w:rPr>
        <w:t>Oryza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sativa</w:t>
      </w:r>
      <w:proofErr w:type="spellEnd"/>
      <w:r>
        <w:rPr>
          <w:rFonts w:eastAsia="Times New Roman"/>
          <w:sz w:val="19"/>
          <w:szCs w:val="19"/>
        </w:rPr>
        <w:t xml:space="preserve"> L.). Int. J. Agric. Res., 5: 708–719</w:t>
      </w:r>
    </w:p>
    <w:p w:rsidR="00132471" w:rsidRDefault="00132471" w:rsidP="00132471">
      <w:pPr>
        <w:spacing w:line="230" w:lineRule="exact"/>
        <w:rPr>
          <w:sz w:val="24"/>
          <w:szCs w:val="24"/>
        </w:rPr>
      </w:pPr>
    </w:p>
    <w:p w:rsidR="00132471" w:rsidRDefault="00132471" w:rsidP="00132471">
      <w:pPr>
        <w:tabs>
          <w:tab w:val="left" w:pos="1403"/>
        </w:tabs>
        <w:ind w:left="983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>IV.</w:t>
      </w:r>
      <w:r>
        <w:rPr>
          <w:rFonts w:eastAsia="Times New Roman"/>
          <w:b/>
          <w:bCs/>
          <w:sz w:val="19"/>
          <w:szCs w:val="19"/>
        </w:rPr>
        <w:tab/>
        <w:t>Biography:</w:t>
      </w:r>
    </w:p>
    <w:p w:rsidR="00132471" w:rsidRDefault="00132471" w:rsidP="00132471">
      <w:pPr>
        <w:spacing w:line="130" w:lineRule="exact"/>
        <w:rPr>
          <w:sz w:val="24"/>
          <w:szCs w:val="24"/>
        </w:rPr>
      </w:pPr>
    </w:p>
    <w:p w:rsidR="00132471" w:rsidRDefault="00132471" w:rsidP="00132471">
      <w:pPr>
        <w:numPr>
          <w:ilvl w:val="0"/>
          <w:numId w:val="6"/>
        </w:numPr>
        <w:tabs>
          <w:tab w:val="left" w:pos="599"/>
        </w:tabs>
        <w:spacing w:line="236" w:lineRule="auto"/>
        <w:ind w:left="3" w:hanging="3"/>
        <w:jc w:val="both"/>
        <w:rPr>
          <w:rFonts w:eastAsia="Times New Roman"/>
          <w:sz w:val="19"/>
          <w:szCs w:val="19"/>
        </w:rPr>
      </w:pPr>
      <w:proofErr w:type="gramStart"/>
      <w:r>
        <w:rPr>
          <w:rFonts w:eastAsia="Times New Roman"/>
          <w:sz w:val="19"/>
          <w:szCs w:val="19"/>
        </w:rPr>
        <w:t>has</w:t>
      </w:r>
      <w:proofErr w:type="gramEnd"/>
      <w:r>
        <w:rPr>
          <w:rFonts w:eastAsia="Times New Roman"/>
          <w:sz w:val="19"/>
          <w:szCs w:val="19"/>
        </w:rPr>
        <w:t xml:space="preserve">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132471" w:rsidRDefault="00132471" w:rsidP="00132471">
      <w:pPr>
        <w:spacing w:line="230" w:lineRule="exact"/>
        <w:rPr>
          <w:rFonts w:eastAsia="Times New Roman"/>
          <w:sz w:val="19"/>
          <w:szCs w:val="19"/>
        </w:rPr>
      </w:pPr>
    </w:p>
    <w:p w:rsidR="00132471" w:rsidRDefault="00132471" w:rsidP="00132471">
      <w:pPr>
        <w:numPr>
          <w:ilvl w:val="2"/>
          <w:numId w:val="6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Presenting author details</w:t>
      </w:r>
    </w:p>
    <w:p w:rsidR="00132471" w:rsidRDefault="00132471" w:rsidP="0013247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0" allowOverlap="1" wp14:anchorId="6C3B17D4" wp14:editId="320E1F52">
            <wp:simplePos x="0" y="0"/>
            <wp:positionH relativeFrom="column">
              <wp:posOffset>-635</wp:posOffset>
            </wp:positionH>
            <wp:positionV relativeFrom="paragraph">
              <wp:posOffset>142875</wp:posOffset>
            </wp:positionV>
            <wp:extent cx="1239520" cy="10198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520" cy="101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18" w:lineRule="exact"/>
        <w:rPr>
          <w:sz w:val="24"/>
          <w:szCs w:val="24"/>
        </w:rPr>
      </w:pPr>
    </w:p>
    <w:p w:rsidR="00132471" w:rsidRDefault="00132471" w:rsidP="00132471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Full Name:</w:t>
      </w:r>
    </w:p>
    <w:p w:rsidR="00132471" w:rsidRDefault="00132471" w:rsidP="00132471">
      <w:pPr>
        <w:spacing w:line="2" w:lineRule="exact"/>
        <w:rPr>
          <w:sz w:val="24"/>
          <w:szCs w:val="24"/>
        </w:rPr>
      </w:pPr>
    </w:p>
    <w:p w:rsidR="00132471" w:rsidRDefault="00132471" w:rsidP="00132471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Contact number:</w:t>
      </w:r>
    </w:p>
    <w:p w:rsidR="00132471" w:rsidRDefault="00132471" w:rsidP="00132471">
      <w:pPr>
        <w:spacing w:line="237" w:lineRule="auto"/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Twitter account:</w:t>
      </w:r>
    </w:p>
    <w:p w:rsidR="00132471" w:rsidRDefault="00132471" w:rsidP="00132471">
      <w:pPr>
        <w:spacing w:line="3" w:lineRule="exact"/>
        <w:rPr>
          <w:sz w:val="24"/>
          <w:szCs w:val="24"/>
        </w:rPr>
      </w:pPr>
    </w:p>
    <w:p w:rsidR="00132471" w:rsidRDefault="00132471" w:rsidP="00132471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Linked In account:</w:t>
      </w:r>
    </w:p>
    <w:p w:rsidR="00132471" w:rsidRDefault="00132471" w:rsidP="00132471">
      <w:pPr>
        <w:spacing w:line="237" w:lineRule="auto"/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Session name/ number:</w:t>
      </w:r>
    </w:p>
    <w:p w:rsidR="00132471" w:rsidRDefault="00132471" w:rsidP="00132471">
      <w:pPr>
        <w:spacing w:line="3" w:lineRule="exact"/>
        <w:rPr>
          <w:sz w:val="24"/>
          <w:szCs w:val="24"/>
        </w:rPr>
      </w:pPr>
    </w:p>
    <w:p w:rsidR="00132471" w:rsidRDefault="00132471" w:rsidP="00132471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Category: (Oral presentation/ Poster presentation)</w:t>
      </w:r>
    </w:p>
    <w:p w:rsidR="00132471" w:rsidRDefault="00132471" w:rsidP="00132471">
      <w:pPr>
        <w:spacing w:line="237" w:lineRule="auto"/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Passport Number</w:t>
      </w:r>
      <w:r>
        <w:rPr>
          <w:rFonts w:eastAsia="Times New Roman"/>
          <w:sz w:val="18"/>
          <w:szCs w:val="18"/>
        </w:rPr>
        <w:t>:</w:t>
      </w: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ectPr w:rsidR="00132471">
          <w:type w:val="continuous"/>
          <w:pgSz w:w="11900" w:h="16834"/>
          <w:pgMar w:top="1070" w:right="719" w:bottom="0" w:left="740" w:header="0" w:footer="0" w:gutter="0"/>
          <w:cols w:num="2" w:space="720" w:equalWidth="0">
            <w:col w:w="5040" w:space="357"/>
            <w:col w:w="5043"/>
          </w:cols>
        </w:sect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00" w:lineRule="exact"/>
        <w:rPr>
          <w:sz w:val="24"/>
          <w:szCs w:val="24"/>
        </w:rPr>
      </w:pPr>
    </w:p>
    <w:p w:rsidR="00132471" w:rsidRDefault="00132471" w:rsidP="00132471">
      <w:pPr>
        <w:spacing w:line="287" w:lineRule="exact"/>
        <w:rPr>
          <w:sz w:val="24"/>
          <w:szCs w:val="24"/>
        </w:rPr>
      </w:pPr>
    </w:p>
    <w:p w:rsidR="00132471" w:rsidRDefault="00132471" w:rsidP="00132471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Conference Series Pte Ltd</w:t>
      </w:r>
    </w:p>
    <w:p w:rsidR="00132471" w:rsidRDefault="00132471" w:rsidP="00132471">
      <w:pPr>
        <w:spacing w:line="1" w:lineRule="exact"/>
        <w:rPr>
          <w:sz w:val="24"/>
          <w:szCs w:val="24"/>
        </w:rPr>
      </w:pPr>
    </w:p>
    <w:p w:rsidR="00132471" w:rsidRDefault="00132471" w:rsidP="00132471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Phone/</w:t>
      </w:r>
      <w:proofErr w:type="spellStart"/>
      <w:r>
        <w:rPr>
          <w:rFonts w:eastAsia="Times New Roman"/>
          <w:b/>
          <w:bCs/>
          <w:color w:val="E36C0A"/>
        </w:rPr>
        <w:t>WhatsApp</w:t>
      </w:r>
      <w:proofErr w:type="spellEnd"/>
      <w:r>
        <w:rPr>
          <w:rFonts w:eastAsia="Times New Roman"/>
          <w:b/>
          <w:bCs/>
          <w:color w:val="E36C0A"/>
        </w:rPr>
        <w:t xml:space="preserve">: </w:t>
      </w:r>
      <w:r w:rsidRPr="00C71AE3">
        <w:rPr>
          <w:rFonts w:eastAsia="Times New Roman"/>
          <w:b/>
          <w:bCs/>
          <w:color w:val="E36C0A"/>
        </w:rPr>
        <w:t>+441250400009</w:t>
      </w:r>
    </w:p>
    <w:p w:rsidR="00BA06EA" w:rsidRDefault="00BA06EA">
      <w:bookmarkStart w:id="1" w:name="_GoBack"/>
      <w:bookmarkEnd w:id="1"/>
    </w:p>
    <w:sectPr w:rsidR="00BA06EA">
      <w:type w:val="continuous"/>
      <w:pgSz w:w="11900" w:h="16834"/>
      <w:pgMar w:top="1070" w:right="719" w:bottom="0" w:left="740" w:header="0" w:footer="0" w:gutter="0"/>
      <w:cols w:space="720" w:equalWidth="0">
        <w:col w:w="104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EB"/>
    <w:multiLevelType w:val="hybridMultilevel"/>
    <w:tmpl w:val="0BFE8A34"/>
    <w:lvl w:ilvl="0" w:tplc="8D742440">
      <w:start w:val="1"/>
      <w:numFmt w:val="decimal"/>
      <w:lvlText w:val="%1"/>
      <w:lvlJc w:val="left"/>
    </w:lvl>
    <w:lvl w:ilvl="1" w:tplc="FAF668C2">
      <w:start w:val="1"/>
      <w:numFmt w:val="upperLetter"/>
      <w:lvlText w:val="%2"/>
      <w:lvlJc w:val="left"/>
    </w:lvl>
    <w:lvl w:ilvl="2" w:tplc="77E4ED7A">
      <w:numFmt w:val="decimal"/>
      <w:lvlText w:val=""/>
      <w:lvlJc w:val="left"/>
    </w:lvl>
    <w:lvl w:ilvl="3" w:tplc="F4BA15B6">
      <w:numFmt w:val="decimal"/>
      <w:lvlText w:val=""/>
      <w:lvlJc w:val="left"/>
    </w:lvl>
    <w:lvl w:ilvl="4" w:tplc="554479C8">
      <w:numFmt w:val="decimal"/>
      <w:lvlText w:val=""/>
      <w:lvlJc w:val="left"/>
    </w:lvl>
    <w:lvl w:ilvl="5" w:tplc="6C7EACD4">
      <w:numFmt w:val="decimal"/>
      <w:lvlText w:val=""/>
      <w:lvlJc w:val="left"/>
    </w:lvl>
    <w:lvl w:ilvl="6" w:tplc="CB24D9E8">
      <w:numFmt w:val="decimal"/>
      <w:lvlText w:val=""/>
      <w:lvlJc w:val="left"/>
    </w:lvl>
    <w:lvl w:ilvl="7" w:tplc="1530381C">
      <w:numFmt w:val="decimal"/>
      <w:lvlText w:val=""/>
      <w:lvlJc w:val="left"/>
    </w:lvl>
    <w:lvl w:ilvl="8" w:tplc="FBB60688">
      <w:numFmt w:val="decimal"/>
      <w:lvlText w:val=""/>
      <w:lvlJc w:val="left"/>
    </w:lvl>
  </w:abstractNum>
  <w:abstractNum w:abstractNumId="1">
    <w:nsid w:val="00000BB3"/>
    <w:multiLevelType w:val="hybridMultilevel"/>
    <w:tmpl w:val="DD64BFE6"/>
    <w:lvl w:ilvl="0" w:tplc="80442F40">
      <w:start w:val="2"/>
      <w:numFmt w:val="decimal"/>
      <w:lvlText w:val="%1."/>
      <w:lvlJc w:val="left"/>
    </w:lvl>
    <w:lvl w:ilvl="1" w:tplc="001ED148">
      <w:numFmt w:val="decimal"/>
      <w:lvlText w:val=""/>
      <w:lvlJc w:val="left"/>
    </w:lvl>
    <w:lvl w:ilvl="2" w:tplc="2CE81922">
      <w:numFmt w:val="decimal"/>
      <w:lvlText w:val=""/>
      <w:lvlJc w:val="left"/>
    </w:lvl>
    <w:lvl w:ilvl="3" w:tplc="99307396">
      <w:numFmt w:val="decimal"/>
      <w:lvlText w:val=""/>
      <w:lvlJc w:val="left"/>
    </w:lvl>
    <w:lvl w:ilvl="4" w:tplc="C74C42EE">
      <w:numFmt w:val="decimal"/>
      <w:lvlText w:val=""/>
      <w:lvlJc w:val="left"/>
    </w:lvl>
    <w:lvl w:ilvl="5" w:tplc="31F29528">
      <w:numFmt w:val="decimal"/>
      <w:lvlText w:val=""/>
      <w:lvlJc w:val="left"/>
    </w:lvl>
    <w:lvl w:ilvl="6" w:tplc="8376B978">
      <w:numFmt w:val="decimal"/>
      <w:lvlText w:val=""/>
      <w:lvlJc w:val="left"/>
    </w:lvl>
    <w:lvl w:ilvl="7" w:tplc="C9B60592">
      <w:numFmt w:val="decimal"/>
      <w:lvlText w:val=""/>
      <w:lvlJc w:val="left"/>
    </w:lvl>
    <w:lvl w:ilvl="8" w:tplc="2AF2141C">
      <w:numFmt w:val="decimal"/>
      <w:lvlText w:val=""/>
      <w:lvlJc w:val="left"/>
    </w:lvl>
  </w:abstractNum>
  <w:abstractNum w:abstractNumId="2">
    <w:nsid w:val="000026E9"/>
    <w:multiLevelType w:val="hybridMultilevel"/>
    <w:tmpl w:val="4D563768"/>
    <w:lvl w:ilvl="0" w:tplc="09D0DF14">
      <w:start w:val="1"/>
      <w:numFmt w:val="decimal"/>
      <w:lvlText w:val="%1"/>
      <w:lvlJc w:val="left"/>
    </w:lvl>
    <w:lvl w:ilvl="1" w:tplc="8E0CD3C6">
      <w:start w:val="61"/>
      <w:numFmt w:val="upperLetter"/>
      <w:lvlText w:val="%2."/>
      <w:lvlJc w:val="left"/>
    </w:lvl>
    <w:lvl w:ilvl="2" w:tplc="F57652B0">
      <w:numFmt w:val="decimal"/>
      <w:lvlText w:val=""/>
      <w:lvlJc w:val="left"/>
    </w:lvl>
    <w:lvl w:ilvl="3" w:tplc="95FA29E6">
      <w:numFmt w:val="decimal"/>
      <w:lvlText w:val=""/>
      <w:lvlJc w:val="left"/>
    </w:lvl>
    <w:lvl w:ilvl="4" w:tplc="BAB43046">
      <w:numFmt w:val="decimal"/>
      <w:lvlText w:val=""/>
      <w:lvlJc w:val="left"/>
    </w:lvl>
    <w:lvl w:ilvl="5" w:tplc="56D6A9E8">
      <w:numFmt w:val="decimal"/>
      <w:lvlText w:val=""/>
      <w:lvlJc w:val="left"/>
    </w:lvl>
    <w:lvl w:ilvl="6" w:tplc="A78402DE">
      <w:numFmt w:val="decimal"/>
      <w:lvlText w:val=""/>
      <w:lvlJc w:val="left"/>
    </w:lvl>
    <w:lvl w:ilvl="7" w:tplc="7FC06C38">
      <w:numFmt w:val="decimal"/>
      <w:lvlText w:val=""/>
      <w:lvlJc w:val="left"/>
    </w:lvl>
    <w:lvl w:ilvl="8" w:tplc="01FA0B98">
      <w:numFmt w:val="decimal"/>
      <w:lvlText w:val=""/>
      <w:lvlJc w:val="left"/>
    </w:lvl>
  </w:abstractNum>
  <w:abstractNum w:abstractNumId="3">
    <w:nsid w:val="00002EA6"/>
    <w:multiLevelType w:val="hybridMultilevel"/>
    <w:tmpl w:val="F0F0E074"/>
    <w:lvl w:ilvl="0" w:tplc="6C6AA26C">
      <w:start w:val="102"/>
      <w:numFmt w:val="upperLetter"/>
      <w:lvlText w:val="%1"/>
      <w:lvlJc w:val="left"/>
    </w:lvl>
    <w:lvl w:ilvl="1" w:tplc="B7301C56">
      <w:start w:val="1"/>
      <w:numFmt w:val="upperLetter"/>
      <w:lvlText w:val="%2"/>
      <w:lvlJc w:val="left"/>
    </w:lvl>
    <w:lvl w:ilvl="2" w:tplc="54302DF0">
      <w:start w:val="22"/>
      <w:numFmt w:val="upperLetter"/>
      <w:lvlText w:val="%3."/>
      <w:lvlJc w:val="left"/>
    </w:lvl>
    <w:lvl w:ilvl="3" w:tplc="C7BAB964">
      <w:numFmt w:val="decimal"/>
      <w:lvlText w:val=""/>
      <w:lvlJc w:val="left"/>
    </w:lvl>
    <w:lvl w:ilvl="4" w:tplc="DEBC7D7A">
      <w:numFmt w:val="decimal"/>
      <w:lvlText w:val=""/>
      <w:lvlJc w:val="left"/>
    </w:lvl>
    <w:lvl w:ilvl="5" w:tplc="2EBC6494">
      <w:numFmt w:val="decimal"/>
      <w:lvlText w:val=""/>
      <w:lvlJc w:val="left"/>
    </w:lvl>
    <w:lvl w:ilvl="6" w:tplc="18D4BCCE">
      <w:numFmt w:val="decimal"/>
      <w:lvlText w:val=""/>
      <w:lvlJc w:val="left"/>
    </w:lvl>
    <w:lvl w:ilvl="7" w:tplc="B2CA7EA6">
      <w:numFmt w:val="decimal"/>
      <w:lvlText w:val=""/>
      <w:lvlJc w:val="left"/>
    </w:lvl>
    <w:lvl w:ilvl="8" w:tplc="311C4C20">
      <w:numFmt w:val="decimal"/>
      <w:lvlText w:val=""/>
      <w:lvlJc w:val="left"/>
    </w:lvl>
  </w:abstractNum>
  <w:abstractNum w:abstractNumId="4">
    <w:nsid w:val="000041BB"/>
    <w:multiLevelType w:val="hybridMultilevel"/>
    <w:tmpl w:val="8ED037E4"/>
    <w:lvl w:ilvl="0" w:tplc="92960F0A">
      <w:start w:val="35"/>
      <w:numFmt w:val="upperLetter"/>
      <w:lvlText w:val="%1."/>
      <w:lvlJc w:val="left"/>
    </w:lvl>
    <w:lvl w:ilvl="1" w:tplc="6DC6AD00">
      <w:numFmt w:val="decimal"/>
      <w:lvlText w:val=""/>
      <w:lvlJc w:val="left"/>
    </w:lvl>
    <w:lvl w:ilvl="2" w:tplc="51B2B17A">
      <w:numFmt w:val="decimal"/>
      <w:lvlText w:val=""/>
      <w:lvlJc w:val="left"/>
    </w:lvl>
    <w:lvl w:ilvl="3" w:tplc="0750ED80">
      <w:numFmt w:val="decimal"/>
      <w:lvlText w:val=""/>
      <w:lvlJc w:val="left"/>
    </w:lvl>
    <w:lvl w:ilvl="4" w:tplc="F5E02692">
      <w:numFmt w:val="decimal"/>
      <w:lvlText w:val=""/>
      <w:lvlJc w:val="left"/>
    </w:lvl>
    <w:lvl w:ilvl="5" w:tplc="3594D7F6">
      <w:numFmt w:val="decimal"/>
      <w:lvlText w:val=""/>
      <w:lvlJc w:val="left"/>
    </w:lvl>
    <w:lvl w:ilvl="6" w:tplc="70E0C302">
      <w:numFmt w:val="decimal"/>
      <w:lvlText w:val=""/>
      <w:lvlJc w:val="left"/>
    </w:lvl>
    <w:lvl w:ilvl="7" w:tplc="A2FE96D6">
      <w:numFmt w:val="decimal"/>
      <w:lvlText w:val=""/>
      <w:lvlJc w:val="left"/>
    </w:lvl>
    <w:lvl w:ilvl="8" w:tplc="1C4AAAF0">
      <w:numFmt w:val="decimal"/>
      <w:lvlText w:val=""/>
      <w:lvlJc w:val="left"/>
    </w:lvl>
  </w:abstractNum>
  <w:abstractNum w:abstractNumId="5">
    <w:nsid w:val="00005AF1"/>
    <w:multiLevelType w:val="hybridMultilevel"/>
    <w:tmpl w:val="0712B354"/>
    <w:lvl w:ilvl="0" w:tplc="34367E84">
      <w:start w:val="9"/>
      <w:numFmt w:val="upperLetter"/>
      <w:lvlText w:val="%1."/>
      <w:lvlJc w:val="left"/>
    </w:lvl>
    <w:lvl w:ilvl="1" w:tplc="F826756E">
      <w:numFmt w:val="decimal"/>
      <w:lvlText w:val=""/>
      <w:lvlJc w:val="left"/>
    </w:lvl>
    <w:lvl w:ilvl="2" w:tplc="6F14ADF8">
      <w:numFmt w:val="decimal"/>
      <w:lvlText w:val=""/>
      <w:lvlJc w:val="left"/>
    </w:lvl>
    <w:lvl w:ilvl="3" w:tplc="9304A9C2">
      <w:numFmt w:val="decimal"/>
      <w:lvlText w:val=""/>
      <w:lvlJc w:val="left"/>
    </w:lvl>
    <w:lvl w:ilvl="4" w:tplc="20E41D14">
      <w:numFmt w:val="decimal"/>
      <w:lvlText w:val=""/>
      <w:lvlJc w:val="left"/>
    </w:lvl>
    <w:lvl w:ilvl="5" w:tplc="D4844D1E">
      <w:numFmt w:val="decimal"/>
      <w:lvlText w:val=""/>
      <w:lvlJc w:val="left"/>
    </w:lvl>
    <w:lvl w:ilvl="6" w:tplc="D2A00462">
      <w:numFmt w:val="decimal"/>
      <w:lvlText w:val=""/>
      <w:lvlJc w:val="left"/>
    </w:lvl>
    <w:lvl w:ilvl="7" w:tplc="830AB0FA">
      <w:numFmt w:val="decimal"/>
      <w:lvlText w:val=""/>
      <w:lvlJc w:val="left"/>
    </w:lvl>
    <w:lvl w:ilvl="8" w:tplc="05C26442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71"/>
    <w:rsid w:val="00132471"/>
    <w:rsid w:val="00BA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471"/>
    <w:pPr>
      <w:spacing w:after="0" w:line="240" w:lineRule="auto"/>
    </w:pPr>
    <w:rPr>
      <w:rFonts w:ascii="Times New Roman" w:eastAsiaTheme="minorEastAsia" w:hAnsi="Times New Roman" w:cs="Times New Roman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471"/>
    <w:pPr>
      <w:spacing w:after="0" w:line="240" w:lineRule="auto"/>
    </w:pPr>
    <w:rPr>
      <w:rFonts w:ascii="Times New Roman" w:eastAsiaTheme="minorEastAsia" w:hAnsi="Times New Roman" w:cs="Times New Roman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2019-12-11T08:39:00Z</dcterms:created>
  <dcterms:modified xsi:type="dcterms:W3CDTF">2019-12-11T08:39:00Z</dcterms:modified>
</cp:coreProperties>
</file>