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1C623D">
      <w:pPr>
        <w:pStyle w:val="Heading1"/>
        <w:spacing w:before="170"/>
        <w:ind w:left="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1C623D">
          <w:headerReference w:type="default" r:id="rId8"/>
          <w:footerReference w:type="default" r:id="rId9"/>
          <w:type w:val="continuous"/>
          <w:pgSz w:w="11910" w:h="16840"/>
          <w:pgMar w:top="142"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BC3E79">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354E84">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simplePos x="0" y="0"/>
            <wp:positionH relativeFrom="column">
              <wp:posOffset>3810</wp:posOffset>
            </wp:positionH>
            <wp:positionV relativeFrom="paragraph">
              <wp:posOffset>119380</wp:posOffset>
            </wp:positionV>
            <wp:extent cx="707390" cy="890270"/>
            <wp:effectExtent l="0" t="0" r="0" b="508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7390" cy="890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1C623D">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354E84">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354E84" w:rsidRDefault="00354E84" w:rsidP="00354E84">
      <w:pPr>
        <w:spacing w:before="39"/>
        <w:ind w:left="100"/>
        <w:rPr>
          <w:rFonts w:ascii="Minion Pro"/>
          <w:b/>
          <w:sz w:val="20"/>
        </w:rPr>
        <w:sectPr w:rsidR="00AE3E37" w:rsidRPr="00354E84">
          <w:type w:val="continuous"/>
          <w:pgSz w:w="11910" w:h="16840"/>
          <w:pgMar w:top="1740" w:right="600" w:bottom="840" w:left="620" w:header="720" w:footer="720" w:gutter="0"/>
          <w:cols w:space="720"/>
        </w:sectPr>
      </w:pPr>
      <w:r>
        <w:rPr>
          <w:rFonts w:ascii="Minion Pro"/>
          <w:b/>
          <w:sz w:val="20"/>
        </w:rPr>
        <w:t>Notes/Comments</w:t>
      </w:r>
    </w:p>
    <w:p w:rsidR="00AE3E37" w:rsidRDefault="00A9710C" w:rsidP="00354E84">
      <w:pPr>
        <w:spacing w:before="47" w:line="400" w:lineRule="exact"/>
        <w:rPr>
          <w:rFonts w:ascii="Minion Pro"/>
          <w:b/>
          <w:sz w:val="36"/>
        </w:rPr>
      </w:pPr>
      <w:r>
        <w:rPr>
          <w:rFonts w:ascii="Minion Pro"/>
          <w:b/>
          <w:color w:val="337AB7"/>
          <w:sz w:val="36"/>
        </w:rPr>
        <w:lastRenderedPageBreak/>
        <w:t>Women, trauma and alcohol dependency: Connections and disconnections in alcohol treatment for women</w:t>
      </w:r>
    </w:p>
    <w:p w:rsidR="00AE3E37" w:rsidRDefault="00A9710C">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354E84">
      <w:pPr>
        <w:pStyle w:val="BodyText"/>
        <w:spacing w:before="3"/>
        <w:rPr>
          <w:rFonts w:ascii="Arial"/>
          <w:sz w:val="28"/>
        </w:rPr>
      </w:pPr>
      <w:r>
        <w:rPr>
          <w:noProof/>
          <w:lang w:val="en-IN" w:eastAsia="en-IN"/>
        </w:rPr>
        <mc:AlternateContent>
          <mc:Choice Requires="wps">
            <w:drawing>
              <wp:anchor distT="0" distB="0" distL="0" distR="0" simplePos="0" relativeHeight="1096" behindDoc="0" locked="0" layoutInCell="1" allowOverlap="1">
                <wp:simplePos x="0" y="0"/>
                <wp:positionH relativeFrom="page">
                  <wp:posOffset>3853815</wp:posOffset>
                </wp:positionH>
                <wp:positionV relativeFrom="paragraph">
                  <wp:posOffset>244475</wp:posOffset>
                </wp:positionV>
                <wp:extent cx="3251200" cy="0"/>
                <wp:effectExtent l="15240" t="15875" r="19685" b="12700"/>
                <wp:wrapTopAndBottom/>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yEwIAACo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BWBksy&#10;EwIAACo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AE3E37" w:rsidRDefault="00AE3E37">
      <w:pPr>
        <w:rPr>
          <w:rFonts w:ascii="Arial"/>
          <w:sz w:val="28"/>
        </w:rPr>
        <w:sectPr w:rsidR="00AE3E37">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AE3E37" w:rsidRDefault="00A82324">
      <w:pPr>
        <w:pStyle w:val="BodyText"/>
        <w:spacing w:before="76" w:line="264" w:lineRule="auto"/>
        <w:ind w:left="100"/>
        <w:jc w:val="both"/>
      </w:pPr>
      <w:r>
        <w:rPr>
          <w:noProof/>
          <w:lang w:val="en-IN" w:eastAsia="en-IN"/>
        </w:rPr>
        <w:drawing>
          <wp:anchor distT="0" distB="0" distL="114300" distR="114300" simplePos="0" relativeHeight="251661312" behindDoc="0" locked="0" layoutInCell="1" allowOverlap="1" wp14:anchorId="1B8DB7C1" wp14:editId="26CF2D06">
            <wp:simplePos x="0" y="0"/>
            <wp:positionH relativeFrom="column">
              <wp:posOffset>3533775</wp:posOffset>
            </wp:positionH>
            <wp:positionV relativeFrom="paragraph">
              <wp:posOffset>155575</wp:posOffset>
            </wp:positionV>
            <wp:extent cx="635635" cy="720090"/>
            <wp:effectExtent l="0" t="0" r="0" b="381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635" cy="720090"/>
                    </a:xfrm>
                    <a:prstGeom prst="rect">
                      <a:avLst/>
                    </a:prstGeom>
                    <a:noFill/>
                    <a:ln>
                      <a:noFill/>
                    </a:ln>
                  </pic:spPr>
                </pic:pic>
              </a:graphicData>
            </a:graphic>
            <wp14:sizeRelH relativeFrom="margin">
              <wp14:pctWidth>0</wp14:pctWidth>
            </wp14:sizeRelH>
          </wp:anchor>
        </w:drawing>
      </w:r>
      <w:r w:rsidR="00A9710C">
        <w:t xml:space="preserve">Statement of the Problem: Women who have experienced intimate </w:t>
      </w:r>
      <w:r>
        <w:t>partner violence</w:t>
      </w:r>
      <w:r w:rsidR="000E2911">
        <w:t xml:space="preserve"> </w:t>
      </w:r>
      <w:r w:rsidR="00A9710C">
        <w:t>(IPV)</w:t>
      </w:r>
      <w:r w:rsidR="000E2911">
        <w:t xml:space="preserve"> </w:t>
      </w:r>
      <w:r w:rsidR="00A9710C">
        <w:t>are</w:t>
      </w:r>
      <w:r w:rsidR="000E2911">
        <w:t xml:space="preserve"> </w:t>
      </w:r>
      <w:r w:rsidR="00A9710C">
        <w:t>at</w:t>
      </w:r>
      <w:r w:rsidR="000E2911">
        <w:t xml:space="preserve"> </w:t>
      </w:r>
      <w:r w:rsidR="00A9710C">
        <w:t>greater</w:t>
      </w:r>
      <w:r w:rsidR="000E2911">
        <w:t xml:space="preserve"> </w:t>
      </w:r>
      <w:r w:rsidR="00A9710C">
        <w:t>risk</w:t>
      </w:r>
      <w:r w:rsidR="000E2911">
        <w:t xml:space="preserve"> </w:t>
      </w:r>
      <w:r w:rsidR="00A9710C">
        <w:t>for</w:t>
      </w:r>
      <w:r w:rsidR="000E2911">
        <w:t xml:space="preserve"> </w:t>
      </w:r>
      <w:r w:rsidR="00A9710C">
        <w:t>physical</w:t>
      </w:r>
      <w:r w:rsidR="000E2911">
        <w:t xml:space="preserve"> </w:t>
      </w:r>
      <w:r w:rsidR="00A9710C">
        <w:t>and</w:t>
      </w:r>
      <w:r w:rsidR="000E2911">
        <w:t xml:space="preserve"> </w:t>
      </w:r>
      <w:r w:rsidR="00A9710C">
        <w:t>mental</w:t>
      </w:r>
      <w:r w:rsidR="000E2911">
        <w:t xml:space="preserve"> </w:t>
      </w:r>
      <w:r w:rsidR="00A9710C">
        <w:t>health problems including posttraumatic stress disorder (PTSD) and alcohol dependency. On their own IPV, PTSD and alcohol dependency result   in significant personal, social and economic cost and the impact of all three</w:t>
      </w:r>
      <w:r w:rsidR="000E2911">
        <w:t xml:space="preserve"> </w:t>
      </w:r>
      <w:r w:rsidR="00A9710C">
        <w:t>may</w:t>
      </w:r>
      <w:r w:rsidR="000E2911">
        <w:t xml:space="preserve"> </w:t>
      </w:r>
      <w:r w:rsidR="00A9710C">
        <w:t>compound</w:t>
      </w:r>
      <w:r w:rsidR="000E2911">
        <w:t xml:space="preserve"> </w:t>
      </w:r>
      <w:r w:rsidR="00A9710C">
        <w:t>these</w:t>
      </w:r>
      <w:r w:rsidR="000E2911">
        <w:t xml:space="preserve"> </w:t>
      </w:r>
      <w:r w:rsidR="00A9710C">
        <w:t>costs.</w:t>
      </w:r>
      <w:r w:rsidR="000E2911">
        <w:t xml:space="preserve"> </w:t>
      </w:r>
      <w:r w:rsidR="00A9710C">
        <w:t>Researchers</w:t>
      </w:r>
      <w:r w:rsidR="000E2911">
        <w:t xml:space="preserve"> </w:t>
      </w:r>
      <w:r w:rsidR="00A9710C">
        <w:t>have</w:t>
      </w:r>
      <w:r w:rsidR="000E2911">
        <w:t xml:space="preserve"> </w:t>
      </w:r>
      <w:r w:rsidR="00A9710C">
        <w:t>reported</w:t>
      </w:r>
      <w:r w:rsidR="000E2911">
        <w:t xml:space="preserve"> </w:t>
      </w:r>
      <w:r w:rsidR="00A9710C">
        <w:t>that</w:t>
      </w:r>
      <w:r w:rsidR="000E2911">
        <w:t xml:space="preserve"> </w:t>
      </w:r>
      <w:r w:rsidR="00A9710C">
        <w:t>women with these experiences are more difficult to treat; many do</w:t>
      </w:r>
      <w:r w:rsidR="000E2911">
        <w:t xml:space="preserve"> </w:t>
      </w:r>
      <w:r w:rsidR="00A9710C">
        <w:t>not</w:t>
      </w:r>
      <w:r w:rsidR="000E2911">
        <w:t xml:space="preserve"> </w:t>
      </w:r>
      <w:r w:rsidR="00A9710C">
        <w:t>access treatment</w:t>
      </w:r>
      <w:r w:rsidR="000E2911">
        <w:t xml:space="preserve"> </w:t>
      </w:r>
      <w:r w:rsidR="00A9710C">
        <w:t>and</w:t>
      </w:r>
      <w:r w:rsidR="000E2911">
        <w:t xml:space="preserve"> </w:t>
      </w:r>
      <w:r w:rsidR="00A9710C">
        <w:t>those</w:t>
      </w:r>
      <w:r w:rsidR="000E2911">
        <w:t xml:space="preserve"> </w:t>
      </w:r>
      <w:r w:rsidR="00A9710C">
        <w:t>who</w:t>
      </w:r>
      <w:r w:rsidR="000E2911">
        <w:t xml:space="preserve"> </w:t>
      </w:r>
      <w:r w:rsidR="00A9710C">
        <w:t>do,</w:t>
      </w:r>
      <w:r w:rsidR="000E2911">
        <w:t xml:space="preserve"> </w:t>
      </w:r>
      <w:r w:rsidR="00A9710C">
        <w:t>frequently</w:t>
      </w:r>
      <w:r w:rsidR="000E2911">
        <w:t xml:space="preserve"> </w:t>
      </w:r>
      <w:r w:rsidR="00A9710C">
        <w:t>do</w:t>
      </w:r>
      <w:r w:rsidR="000E2911">
        <w:t xml:space="preserve"> </w:t>
      </w:r>
      <w:r w:rsidR="00A9710C">
        <w:t>not</w:t>
      </w:r>
      <w:r w:rsidR="000E2911">
        <w:t xml:space="preserve"> </w:t>
      </w:r>
      <w:r w:rsidR="00A9710C">
        <w:t>stay</w:t>
      </w:r>
      <w:r w:rsidR="000E2911">
        <w:t xml:space="preserve"> </w:t>
      </w:r>
      <w:r w:rsidR="00A9710C">
        <w:t>because</w:t>
      </w:r>
      <w:r w:rsidR="000E2911">
        <w:t xml:space="preserve"> </w:t>
      </w:r>
      <w:r w:rsidR="00A9710C">
        <w:t>of</w:t>
      </w:r>
      <w:r w:rsidR="000E2911">
        <w:t xml:space="preserve"> </w:t>
      </w:r>
      <w:r w:rsidR="00A9710C">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A9710C">
      <w:pPr>
        <w:spacing w:before="41" w:line="154" w:lineRule="exact"/>
        <w:ind w:left="100" w:right="250"/>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w:t>
      </w:r>
      <w:proofErr w:type="gramStart"/>
      <w:r>
        <w:rPr>
          <w:rFonts w:ascii="Arial"/>
          <w:sz w:val="14"/>
        </w:rPr>
        <w:t>foundation  is</w:t>
      </w:r>
      <w:proofErr w:type="gramEnd"/>
      <w:r>
        <w:rPr>
          <w:rFonts w:ascii="Arial"/>
          <w:sz w:val="14"/>
        </w:rPr>
        <w:t xml:space="preserve"> based on fourth generation evaluation (Guba&amp; Lincoln, 1989) which is a methodologythatutilizesthepreviousgenerationsofevaluation:measurement, description and judgment. It allows for value-pluralism. This approach is responsive to all stakeholders and has a different way </w:t>
      </w:r>
      <w:r w:rsidR="001C623D">
        <w:rPr>
          <w:rFonts w:ascii="Arial"/>
          <w:sz w:val="14"/>
        </w:rPr>
        <w:t>of focusing</w:t>
      </w:r>
      <w:r>
        <w:rPr>
          <w:rFonts w:ascii="Arial"/>
          <w:sz w:val="14"/>
        </w:rPr>
        <w:t>.</w:t>
      </w:r>
    </w:p>
    <w:p w:rsidR="00AE3E37" w:rsidRDefault="00A9710C">
      <w:pPr>
        <w:spacing w:before="62"/>
        <w:ind w:left="1428" w:right="1579"/>
        <w:jc w:val="center"/>
        <w:rPr>
          <w:rFonts w:ascii="Arial"/>
          <w:sz w:val="14"/>
        </w:rPr>
      </w:pPr>
      <w:r>
        <w:rPr>
          <w:rFonts w:ascii="Arial"/>
          <w:sz w:val="14"/>
        </w:rPr>
        <w:t xml:space="preserve">Email: </w:t>
      </w:r>
      <w:hyperlink r:id="rId17">
        <w:r>
          <w:rPr>
            <w:rFonts w:ascii="Arial"/>
            <w:color w:val="004080"/>
            <w:sz w:val="14"/>
          </w:rPr>
          <w:t>drdeanna.rpm@hotmail.com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82324">
      <w:pPr>
        <w:pStyle w:val="BodyText"/>
        <w:tabs>
          <w:tab w:val="left" w:pos="5698"/>
          <w:tab w:val="left" w:pos="10302"/>
        </w:tabs>
        <w:spacing w:line="264" w:lineRule="auto"/>
        <w:ind w:left="100" w:right="384"/>
      </w:pPr>
      <w:r>
        <w:lastRenderedPageBreak/>
        <w:t>Maintaining</w:t>
      </w:r>
      <w:r w:rsidR="00A9710C">
        <w:t xml:space="preserve"> helping relationships. However, these</w:t>
      </w:r>
      <w:r w:rsidR="000E2911">
        <w:t xml:space="preserve"> </w:t>
      </w:r>
      <w:r w:rsidR="00A9710C">
        <w:t>women’s</w:t>
      </w:r>
      <w:r w:rsidR="000E2911">
        <w:t xml:space="preserve"> </w:t>
      </w:r>
      <w:r w:rsidR="00A9710C">
        <w:t>perspective</w:t>
      </w:r>
      <w:r w:rsidR="00A9710C">
        <w:tab/>
      </w:r>
      <w:r w:rsidR="00A9710C">
        <w:rPr>
          <w:u w:val="single" w:color="004080"/>
        </w:rPr>
        <w:tab/>
      </w:r>
      <w:r w:rsidR="00A9710C">
        <w:t xml:space="preserve"> has not been previously studied. The purpose of this study is to</w:t>
      </w:r>
      <w:r w:rsidR="000E2911">
        <w:t xml:space="preserve"> </w:t>
      </w:r>
      <w:r w:rsidR="00A9710C">
        <w:t>describe</w:t>
      </w:r>
    </w:p>
    <w:p w:rsidR="00AE3E37" w:rsidRDefault="00A9710C">
      <w:pPr>
        <w:pStyle w:val="BodyText"/>
        <w:spacing w:line="163" w:lineRule="exact"/>
        <w:ind w:left="100"/>
      </w:pPr>
      <w:proofErr w:type="gramStart"/>
      <w:r>
        <w:t>the</w:t>
      </w:r>
      <w:proofErr w:type="gramEnd"/>
      <w:r>
        <w:t xml:space="preserv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BodyText"/>
        <w:spacing w:before="53" w:line="264" w:lineRule="auto"/>
        <w:ind w:left="100"/>
        <w:jc w:val="both"/>
      </w:pPr>
      <w:r>
        <w:lastRenderedPageBreak/>
        <w:t xml:space="preserve">PTSD and a history of IPV in the context in which it occurs. Methodology &amp; Theoretical Orientation: An </w:t>
      </w:r>
      <w:bookmarkStart w:id="0" w:name="_GoBack"/>
      <w:bookmarkEnd w:id="0"/>
      <w:r>
        <w:t>inter</w:t>
      </w:r>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distress. Recommendations are made for treatment centers to become trauma- informed that would help this</w:t>
      </w:r>
      <w:r w:rsidR="000E2911">
        <w:t xml:space="preserve"> </w:t>
      </w:r>
      <w:r>
        <w:t>recognition.</w:t>
      </w:r>
    </w:p>
    <w:p w:rsidR="00AE3E37" w:rsidRDefault="00AE3E37">
      <w:pPr>
        <w:pStyle w:val="BodyText"/>
        <w:spacing w:before="5"/>
        <w:rPr>
          <w:sz w:val="17"/>
        </w:rPr>
      </w:pPr>
    </w:p>
    <w:p w:rsidR="00AE3E37" w:rsidRDefault="00A9710C">
      <w:pPr>
        <w:pStyle w:val="Heading3"/>
        <w:jc w:val="both"/>
      </w:pPr>
      <w:r>
        <w:rPr>
          <w:color w:val="BF5A14"/>
        </w:rPr>
        <w:t>Image</w:t>
      </w:r>
    </w:p>
    <w:p w:rsidR="00AE3E37" w:rsidRDefault="00A9710C">
      <w:pPr>
        <w:pStyle w:val="BodyText"/>
        <w:spacing w:before="1"/>
        <w:rPr>
          <w:rFonts w:ascii="Arial"/>
          <w:b/>
          <w:sz w:val="9"/>
        </w:rPr>
      </w:pPr>
      <w:r>
        <w:rPr>
          <w:noProof/>
          <w:lang w:val="en-IN" w:eastAsia="en-IN"/>
        </w:rPr>
        <w:drawing>
          <wp:anchor distT="0" distB="0" distL="0" distR="0" simplePos="0" relativeHeight="1120" behindDoc="0" locked="0" layoutInCell="1" allowOverlap="1">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0" cstate="print"/>
                    <a:stretch>
                      <a:fillRect/>
                    </a:stretch>
                  </pic:blipFill>
                  <pic:spPr>
                    <a:xfrm>
                      <a:off x="0" y="0"/>
                      <a:ext cx="3235637" cy="1609725"/>
                    </a:xfrm>
                    <a:prstGeom prst="rect">
                      <a:avLst/>
                    </a:prstGeom>
                  </pic:spPr>
                </pic:pic>
              </a:graphicData>
            </a:graphic>
          </wp:anchor>
        </w:drawing>
      </w: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ListParagraph"/>
        <w:numPr>
          <w:ilvl w:val="0"/>
          <w:numId w:val="1"/>
        </w:numPr>
        <w:tabs>
          <w:tab w:val="left" w:pos="384"/>
        </w:tabs>
        <w:spacing w:before="103" w:line="216" w:lineRule="exact"/>
        <w:ind w:right="138" w:hanging="283"/>
        <w:jc w:val="both"/>
        <w:rPr>
          <w:sz w:val="18"/>
        </w:rPr>
      </w:pPr>
      <w:r>
        <w:rPr>
          <w:sz w:val="18"/>
        </w:rPr>
        <w:t xml:space="preserve">Harper C (2009) </w:t>
      </w:r>
      <w:r w:rsidR="00A82324">
        <w:t>brain damage</w:t>
      </w:r>
    </w:p>
    <w:p w:rsidR="00AE3E37" w:rsidRDefault="00A9710C">
      <w:pPr>
        <w:pStyle w:val="ListParagraph"/>
        <w:numPr>
          <w:ilvl w:val="0"/>
          <w:numId w:val="1"/>
        </w:numPr>
        <w:tabs>
          <w:tab w:val="left" w:pos="384"/>
        </w:tabs>
        <w:spacing w:line="216" w:lineRule="exact"/>
        <w:ind w:right="13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jc w:val="both"/>
        <w:rPr>
          <w:sz w:val="18"/>
        </w:rPr>
      </w:pPr>
      <w:proofErr w:type="spellStart"/>
      <w:r>
        <w:rPr>
          <w:sz w:val="18"/>
        </w:rPr>
        <w:t>LiX</w:t>
      </w:r>
      <w:proofErr w:type="spellEnd"/>
      <w:r>
        <w:rPr>
          <w:sz w:val="18"/>
        </w:rPr>
        <w:t>,</w:t>
      </w:r>
      <w:r w:rsidR="000E2911">
        <w:rPr>
          <w:sz w:val="18"/>
        </w:rPr>
        <w:t xml:space="preserve"> </w:t>
      </w:r>
      <w:proofErr w:type="spellStart"/>
      <w:r>
        <w:rPr>
          <w:sz w:val="18"/>
        </w:rPr>
        <w:t>SchwachaMG</w:t>
      </w:r>
      <w:proofErr w:type="spellEnd"/>
      <w:r>
        <w:rPr>
          <w:sz w:val="18"/>
        </w:rPr>
        <w:t>,</w:t>
      </w:r>
      <w:r w:rsidR="000E2911">
        <w:rPr>
          <w:sz w:val="18"/>
        </w:rPr>
        <w:t xml:space="preserve"> </w:t>
      </w:r>
      <w:proofErr w:type="spellStart"/>
      <w:r>
        <w:rPr>
          <w:sz w:val="18"/>
        </w:rPr>
        <w:t>ChaudryIH</w:t>
      </w:r>
      <w:proofErr w:type="spellEnd"/>
      <w:r>
        <w:rPr>
          <w:sz w:val="18"/>
        </w:rPr>
        <w:t>,</w:t>
      </w:r>
      <w:r w:rsidR="000E2911">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8">
        <w:r>
          <w:rPr>
            <w:sz w:val="18"/>
          </w:rPr>
          <w:t>Alcohol and public health.</w:t>
        </w:r>
        <w:r w:rsidR="000E2911">
          <w:rPr>
            <w:sz w:val="18"/>
          </w:rPr>
          <w:t xml:space="preserve"> </w:t>
        </w:r>
        <w:r>
          <w:rPr>
            <w:sz w:val="18"/>
          </w:rPr>
          <w:t>Lancet</w:t>
        </w:r>
      </w:hyperlink>
    </w:p>
    <w:p w:rsidR="00AE3E37" w:rsidRDefault="00BC3E79">
      <w:pPr>
        <w:pStyle w:val="BodyText"/>
        <w:spacing w:line="218" w:lineRule="exact"/>
        <w:ind w:left="383"/>
        <w:rPr>
          <w:rFonts w:ascii="Calibri"/>
        </w:rPr>
      </w:pPr>
      <w:hyperlink r:id="rId19">
        <w:r w:rsidR="00A9710C">
          <w:rPr>
            <w:rFonts w:ascii="Calibri"/>
          </w:rPr>
          <w:t>365: 519-530.</w:t>
        </w:r>
      </w:hyperlink>
    </w:p>
    <w:p w:rsidR="00AE3E37" w:rsidRDefault="00A9710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w:t>
      </w:r>
      <w:r w:rsidR="000E2911">
        <w:rPr>
          <w:rFonts w:ascii="Calibri" w:hAnsi="Calibri"/>
        </w:rPr>
        <w:t>tion</w:t>
      </w:r>
      <w:proofErr w:type="spellEnd"/>
      <w:r w:rsidR="000E2911">
        <w:rPr>
          <w:rFonts w:ascii="Calibri" w:hAnsi="Calibri"/>
        </w:rPr>
        <w:t xml:space="preserve"> as a neurotoxic mechanism </w:t>
      </w:r>
      <w:r w:rsidR="00A82324">
        <w:rPr>
          <w:rFonts w:ascii="Calibri" w:hAnsi="Calibri"/>
        </w:rPr>
        <w:t>in alcoholism</w:t>
      </w:r>
      <w:r>
        <w:rPr>
          <w:rFonts w:ascii="Calibri" w:hAnsi="Calibri"/>
        </w:rPr>
        <w:t xml:space="preserve">:  </w:t>
      </w:r>
      <w:r w:rsidR="00A82324">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354E84">
      <w:type w:val="continuous"/>
      <w:pgSz w:w="11910" w:h="16840"/>
      <w:pgMar w:top="851"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E79" w:rsidRDefault="00BC3E79">
      <w:r>
        <w:separator/>
      </w:r>
    </w:p>
  </w:endnote>
  <w:endnote w:type="continuationSeparator" w:id="0">
    <w:p w:rsidR="00BC3E79" w:rsidRDefault="00BC3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54E84">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D76C5F4" wp14:editId="50951D0C">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388357F" wp14:editId="1B78FE57">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BC201BC" wp14:editId="2CC950A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E79" w:rsidRDefault="00BC3E79">
      <w:r>
        <w:separator/>
      </w:r>
    </w:p>
  </w:footnote>
  <w:footnote w:type="continuationSeparator" w:id="0">
    <w:p w:rsidR="00BC3E79" w:rsidRDefault="00BC3E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54E84">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37470DC" wp14:editId="751A7399">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2D19FF5" wp14:editId="0EF238B9">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C623D"/>
    <w:rsid w:val="00354E84"/>
    <w:rsid w:val="00404E5B"/>
    <w:rsid w:val="00414F7B"/>
    <w:rsid w:val="004355DC"/>
    <w:rsid w:val="004749B4"/>
    <w:rsid w:val="004F3523"/>
    <w:rsid w:val="005B3A56"/>
    <w:rsid w:val="006060CE"/>
    <w:rsid w:val="0063497F"/>
    <w:rsid w:val="006C417F"/>
    <w:rsid w:val="00873DF0"/>
    <w:rsid w:val="009B2D44"/>
    <w:rsid w:val="00A82324"/>
    <w:rsid w:val="00A91268"/>
    <w:rsid w:val="00A9710C"/>
    <w:rsid w:val="00AE3E37"/>
    <w:rsid w:val="00B21A57"/>
    <w:rsid w:val="00BC3E79"/>
    <w:rsid w:val="00C33602"/>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hyperlink" Target="http://www.ncbi.nlm.nih.gov/pubmed/15705462"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hyperlink" Target="mailto:drdeanna.rpm@hotmail.com" TargetMode="External"/><Relationship Id="rId2" Type="http://schemas.openxmlformats.org/officeDocument/2006/relationships/styles" Target="styles.xml"/><Relationship Id="rId16" Type="http://schemas.openxmlformats.org/officeDocument/2006/relationships/hyperlink" Target="mailto:drdeanna.rpm@hotmail.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19" Type="http://schemas.openxmlformats.org/officeDocument/2006/relationships/hyperlink" Target="http://www.ncbi.nlm.nih.gov/pubmed/1570546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1138</Words>
  <Characters>6488</Characters>
  <Application>Microsoft Office Word</Application>
  <DocSecurity>0</DocSecurity>
  <Lines>54</Lines>
  <Paragraphs>15</Paragraphs>
  <ScaleCrop>false</ScaleCrop>
  <Company>Microsoft</Company>
  <LinksUpToDate>false</LinksUpToDate>
  <CharactersWithSpaces>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Ratna kumari</cp:lastModifiedBy>
  <cp:revision>6</cp:revision>
  <dcterms:created xsi:type="dcterms:W3CDTF">2016-09-14T12:05:00Z</dcterms:created>
  <dcterms:modified xsi:type="dcterms:W3CDTF">2016-09-22T14:50:00Z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