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w:t>
      </w:r>
      <w:proofErr w:type="gramStart"/>
      <w:r>
        <w:rPr>
          <w:color w:val="337AB7"/>
        </w:rPr>
        <w:t>dependency</w:t>
      </w:r>
      <w:r w:rsidR="00A7666D">
        <w:rPr>
          <w:color w:val="337AB7"/>
        </w:rPr>
        <w:t xml:space="preserve"> </w:t>
      </w:r>
      <w:r>
        <w:rPr>
          <w:color w:val="337AB7"/>
        </w:rPr>
        <w:t>:</w:t>
      </w:r>
      <w:proofErr w:type="gramEnd"/>
      <w:r>
        <w:rPr>
          <w:color w:val="337AB7"/>
        </w:rPr>
        <w:t xml:space="preserve"> Connections and disconnections in alcohol treatment for women</w:t>
      </w:r>
    </w:p>
    <w:p w:rsidR="004B3B07" w:rsidRDefault="004B3B07"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sidR="005973B9">
        <w:rPr>
          <w:rFonts w:ascii="Arial"/>
        </w:rPr>
        <w:t xml:space="preserve">, TLI Foundation, USA </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TLI Foundation, USA</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B54" w:rsidRDefault="00802B54">
      <w:r>
        <w:separator/>
      </w:r>
    </w:p>
  </w:endnote>
  <w:endnote w:type="continuationSeparator" w:id="0">
    <w:p w:rsidR="00802B54" w:rsidRDefault="00802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B54" w:rsidRDefault="00802B54">
      <w:r>
        <w:separator/>
      </w:r>
    </w:p>
  </w:footnote>
  <w:footnote w:type="continuationSeparator" w:id="0">
    <w:p w:rsidR="00802B54" w:rsidRDefault="00802B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B3B07"/>
    <w:rsid w:val="004F3523"/>
    <w:rsid w:val="005973B9"/>
    <w:rsid w:val="005B3A56"/>
    <w:rsid w:val="006060CE"/>
    <w:rsid w:val="0063497F"/>
    <w:rsid w:val="00802B54"/>
    <w:rsid w:val="00873DF0"/>
    <w:rsid w:val="008756E6"/>
    <w:rsid w:val="0099151C"/>
    <w:rsid w:val="009B2D44"/>
    <w:rsid w:val="00A07E82"/>
    <w:rsid w:val="00A7666D"/>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spots nutrition</cp:lastModifiedBy>
  <cp:revision>4</cp:revision>
  <dcterms:created xsi:type="dcterms:W3CDTF">2017-11-01T13:11:00Z</dcterms:created>
  <dcterms:modified xsi:type="dcterms:W3CDTF">2018-12-12T14:01:00Z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