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1103" w:rsidRDefault="00631103" w:rsidP="00631103">
      <w:pPr>
        <w:pStyle w:val="BodyText"/>
        <w:rPr>
          <w:rFonts w:ascii="Times New Roman"/>
          <w:sz w:val="20"/>
        </w:rPr>
      </w:pPr>
    </w:p>
    <w:p w:rsidR="00631103" w:rsidRDefault="00631103" w:rsidP="00631103">
      <w:pPr>
        <w:spacing w:before="47" w:line="400" w:lineRule="exact"/>
        <w:ind w:left="100"/>
        <w:rPr>
          <w:rFonts w:ascii="Minion Pro"/>
          <w:b/>
          <w:sz w:val="36"/>
        </w:rPr>
      </w:pPr>
      <w:r>
        <w:rPr>
          <w:rFonts w:ascii="Minion Pro"/>
          <w:b/>
          <w:color w:val="337AB7"/>
          <w:sz w:val="36"/>
        </w:rPr>
        <w:t>Considerations in biosimilars developmental strategies</w:t>
      </w:r>
    </w:p>
    <w:p w:rsidR="00631103" w:rsidRDefault="00631103" w:rsidP="00631103">
      <w:pPr>
        <w:pStyle w:val="BodyText"/>
        <w:spacing w:before="73" w:line="198" w:lineRule="exact"/>
        <w:ind w:left="100" w:right="5987"/>
        <w:rPr>
          <w:rFonts w:ascii="Arial"/>
        </w:rPr>
      </w:pPr>
      <w:r>
        <w:rPr>
          <w:rFonts w:ascii="Arial"/>
        </w:rPr>
        <w:t>Nicolette A Stevenson, PhD, Celetrion, UK</w:t>
      </w:r>
    </w:p>
    <w:p w:rsidR="00631103" w:rsidRDefault="00631103" w:rsidP="00631103">
      <w:pPr>
        <w:pStyle w:val="BodyText"/>
        <w:rPr>
          <w:rFonts w:ascii="Arial"/>
          <w:sz w:val="20"/>
        </w:rPr>
      </w:pPr>
    </w:p>
    <w:p w:rsidR="00631103" w:rsidRDefault="00631103" w:rsidP="00631103">
      <w:pPr>
        <w:pStyle w:val="BodyText"/>
        <w:spacing w:before="3"/>
        <w:rPr>
          <w:rFonts w:ascii="Arial"/>
          <w:sz w:val="21"/>
        </w:rPr>
      </w:pPr>
    </w:p>
    <w:p w:rsidR="00631103" w:rsidRDefault="00631103" w:rsidP="00631103">
      <w:pPr>
        <w:rPr>
          <w:rFonts w:ascii="Arial"/>
          <w:sz w:val="21"/>
        </w:rPr>
        <w:sectPr w:rsidR="00631103" w:rsidSect="00631103">
          <w:headerReference w:type="default" r:id="rId8"/>
          <w:footerReference w:type="default" r:id="rId9"/>
          <w:pgSz w:w="11910" w:h="16840"/>
          <w:pgMar w:top="1740" w:right="600" w:bottom="840" w:left="620" w:header="541" w:footer="642" w:gutter="0"/>
          <w:cols w:space="720"/>
        </w:sectPr>
      </w:pPr>
    </w:p>
    <w:p w:rsidR="00631103" w:rsidRDefault="00631103" w:rsidP="00631103">
      <w:pPr>
        <w:pStyle w:val="Heading3"/>
        <w:spacing w:before="147"/>
        <w:jc w:val="both"/>
      </w:pPr>
      <w:r>
        <w:rPr>
          <w:color w:val="BF5A14"/>
        </w:rPr>
        <w:lastRenderedPageBreak/>
        <w:t>Abstract (300 word limit)</w:t>
      </w:r>
    </w:p>
    <w:p w:rsidR="00631103" w:rsidRDefault="00631103" w:rsidP="00631103">
      <w:pPr>
        <w:pStyle w:val="BodyText"/>
        <w:spacing w:before="90" w:line="280" w:lineRule="auto"/>
        <w:ind w:left="100"/>
        <w:jc w:val="both"/>
      </w:pPr>
      <w:r w:rsidRPr="00A54810">
        <w:rPr>
          <w:rFonts w:ascii="Times New Roman" w:hAnsi="Times New Roman" w:cs="Times New Roman"/>
          <w:sz w:val="24"/>
          <w:szCs w:val="24"/>
        </w:rPr>
        <w:t>European regulators have been the first to develop Biosimilar Guidance and approve in an abbreviated route products which are highly similar compared to their originator. However, with increasing experience with Biosimilars also the regulator′s perspective has further evolved enabling sponsors more flexibility in their development. Robert will provide insights into the interaction with regulators and how you should seek for validation of your development strategy. He will highlight the key requirements of today′s Biosimilars development and exemplify different strategies to obtain marketing approval in Europe. Biosimilars are entering the landscape as patents for major branded large molecule products start to expire over the next few years. This rapid drive is fueled by the potential to reduce treatment costs and increase the accessibility of treatments for everyone around the world. However, generation and approval of biosimilars are not trivial as a biosimilar medicine is essentially a new biological product that is similar (not identical) to a medicine that has already been authorized to be marketed.  In this presentation, I will review the bioanalytical challenges and solutions that apply specifically to the analysis of biosimilars in biological samples with a focus on the PK, immunogenicity, biomarker and cell-based assays</w:t>
      </w:r>
      <w:r w:rsidRPr="00A54810">
        <w:t>.</w:t>
      </w:r>
    </w:p>
    <w:p w:rsidR="00631103" w:rsidRDefault="00631103" w:rsidP="00631103">
      <w:pPr>
        <w:pStyle w:val="Heading3"/>
        <w:spacing w:before="74"/>
      </w:pPr>
      <w:r>
        <w:rPr>
          <w:b w:val="0"/>
        </w:rPr>
        <w:br w:type="column"/>
      </w:r>
      <w:r>
        <w:rPr>
          <w:color w:val="BF5A14"/>
        </w:rPr>
        <w:lastRenderedPageBreak/>
        <w:t>Image</w:t>
      </w:r>
      <w:r w:rsidR="00A3188C">
        <w:rPr>
          <w:color w:val="BF5A14"/>
        </w:rPr>
        <w:t>(if any)</w:t>
      </w:r>
    </w:p>
    <w:p w:rsidR="00631103" w:rsidRDefault="00631103" w:rsidP="00631103">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169B66C1" wp14:editId="62C1C29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631103" w:rsidRDefault="00631103" w:rsidP="00631103">
      <w:pPr>
        <w:spacing w:before="157"/>
        <w:ind w:left="100"/>
        <w:rPr>
          <w:rFonts w:ascii="Arial"/>
          <w:b/>
          <w:sz w:val="20"/>
        </w:rPr>
      </w:pPr>
      <w:r>
        <w:rPr>
          <w:rFonts w:ascii="Arial"/>
          <w:b/>
          <w:color w:val="BF5A14"/>
          <w:sz w:val="20"/>
        </w:rPr>
        <w:t>Recent publications</w:t>
      </w:r>
      <w:r w:rsidR="00A3188C">
        <w:rPr>
          <w:rFonts w:ascii="Arial"/>
          <w:b/>
          <w:color w:val="BF5A14"/>
          <w:sz w:val="20"/>
        </w:rPr>
        <w:t>/conference or seminars attended (</w:t>
      </w:r>
      <w:bookmarkStart w:id="0" w:name="_GoBack"/>
      <w:bookmarkEnd w:id="0"/>
      <w:r>
        <w:rPr>
          <w:rFonts w:ascii="Arial"/>
          <w:b/>
          <w:color w:val="BF5A14"/>
          <w:sz w:val="20"/>
        </w:rPr>
        <w:t>5)</w:t>
      </w:r>
    </w:p>
    <w:p w:rsidR="00631103" w:rsidRDefault="00631103" w:rsidP="00631103">
      <w:pPr>
        <w:pStyle w:val="ListParagraph"/>
        <w:numPr>
          <w:ilvl w:val="0"/>
          <w:numId w:val="1"/>
        </w:numPr>
        <w:tabs>
          <w:tab w:val="left" w:pos="384"/>
        </w:tabs>
        <w:spacing w:before="99"/>
        <w:ind w:right="118" w:hanging="283"/>
        <w:rPr>
          <w:sz w:val="18"/>
        </w:rPr>
      </w:pPr>
      <w:r>
        <w:rPr>
          <w:sz w:val="18"/>
        </w:rPr>
        <w:t xml:space="preserve">Harper C (2009) </w:t>
      </w:r>
      <w:hyperlink r:id="rId11">
        <w:r>
          <w:rPr>
            <w:sz w:val="18"/>
          </w:rPr>
          <w:t>The neuropathology of alcohol-related brain</w:t>
        </w:r>
      </w:hyperlink>
      <w:hyperlink r:id="rId12">
        <w:r>
          <w:rPr>
            <w:sz w:val="18"/>
          </w:rPr>
          <w:t>damage. Alcohol Alcohol 44:136-140.</w:t>
        </w:r>
      </w:hyperlink>
    </w:p>
    <w:p w:rsidR="00631103" w:rsidRDefault="00631103" w:rsidP="00631103">
      <w:pPr>
        <w:pStyle w:val="ListParagraph"/>
        <w:numPr>
          <w:ilvl w:val="0"/>
          <w:numId w:val="1"/>
        </w:numPr>
        <w:tabs>
          <w:tab w:val="left" w:pos="384"/>
        </w:tabs>
        <w:ind w:right="11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631103" w:rsidRDefault="00631103" w:rsidP="00631103">
      <w:pPr>
        <w:pStyle w:val="ListParagraph"/>
        <w:numPr>
          <w:ilvl w:val="0"/>
          <w:numId w:val="1"/>
        </w:numPr>
        <w:tabs>
          <w:tab w:val="left" w:pos="384"/>
        </w:tabs>
        <w:ind w:right="118" w:hanging="283"/>
        <w:rPr>
          <w:sz w:val="18"/>
        </w:rPr>
      </w:pPr>
      <w:r>
        <w:rPr>
          <w:sz w:val="18"/>
        </w:rPr>
        <w:t>LiX, SchwachaMG, ChaudryIH, ChoudhryMA (2008)Acutealcohol intoxication potentiates neutrophil-mediated intestinal tissue damage after burn injury. Shock 29:377.</w:t>
      </w:r>
    </w:p>
    <w:p w:rsidR="00631103" w:rsidRDefault="00631103" w:rsidP="00631103">
      <w:pPr>
        <w:pStyle w:val="ListParagraph"/>
        <w:numPr>
          <w:ilvl w:val="0"/>
          <w:numId w:val="1"/>
        </w:numPr>
        <w:tabs>
          <w:tab w:val="left" w:pos="384"/>
        </w:tabs>
        <w:spacing w:before="79" w:line="210" w:lineRule="exact"/>
        <w:ind w:hanging="283"/>
        <w:rPr>
          <w:sz w:val="18"/>
        </w:rPr>
      </w:pPr>
      <w:r>
        <w:rPr>
          <w:sz w:val="18"/>
        </w:rPr>
        <w:t>Room R, Babor</w:t>
      </w:r>
      <w:r>
        <w:rPr>
          <w:spacing w:val="-10"/>
          <w:sz w:val="18"/>
        </w:rPr>
        <w:t xml:space="preserve">T, </w:t>
      </w:r>
      <w:r>
        <w:rPr>
          <w:sz w:val="18"/>
        </w:rPr>
        <w:t xml:space="preserve">Rehm J (2005) </w:t>
      </w:r>
      <w:hyperlink r:id="rId13">
        <w:r>
          <w:rPr>
            <w:sz w:val="18"/>
          </w:rPr>
          <w:t>Alcohol and public health.Lancet</w:t>
        </w:r>
      </w:hyperlink>
    </w:p>
    <w:p w:rsidR="00631103" w:rsidRDefault="00660BA2" w:rsidP="00631103">
      <w:pPr>
        <w:pStyle w:val="BodyText"/>
        <w:spacing w:line="210" w:lineRule="exact"/>
        <w:ind w:left="383"/>
        <w:rPr>
          <w:rFonts w:ascii="Calibri"/>
        </w:rPr>
      </w:pPr>
      <w:hyperlink r:id="rId14">
        <w:r w:rsidR="00631103">
          <w:rPr>
            <w:rFonts w:ascii="Calibri"/>
          </w:rPr>
          <w:t>365: 519-530.</w:t>
        </w:r>
      </w:hyperlink>
    </w:p>
    <w:p w:rsidR="00631103" w:rsidRDefault="00631103" w:rsidP="00631103">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631103" w:rsidRDefault="00631103" w:rsidP="00631103">
      <w:pPr>
        <w:spacing w:line="200" w:lineRule="exact"/>
        <w:jc w:val="both"/>
        <w:rPr>
          <w:rFonts w:ascii="Calibri" w:hAnsi="Calibri"/>
        </w:rPr>
        <w:sectPr w:rsidR="00631103">
          <w:type w:val="continuous"/>
          <w:pgSz w:w="11910" w:h="16840"/>
          <w:pgMar w:top="1740" w:right="600" w:bottom="840" w:left="620" w:header="720" w:footer="720" w:gutter="0"/>
          <w:cols w:num="2" w:space="720" w:equalWidth="0">
            <w:col w:w="5214" w:space="138"/>
            <w:col w:w="5338"/>
          </w:cols>
        </w:sectPr>
      </w:pPr>
    </w:p>
    <w:p w:rsidR="00631103" w:rsidRDefault="00631103" w:rsidP="00631103">
      <w:pPr>
        <w:pStyle w:val="BodyText"/>
        <w:spacing w:line="40" w:lineRule="exact"/>
        <w:ind w:left="2202"/>
        <w:rPr>
          <w:rFonts w:ascii="Calibri"/>
          <w:sz w:val="4"/>
        </w:rPr>
      </w:pPr>
    </w:p>
    <w:p w:rsidR="00631103" w:rsidRDefault="00631103" w:rsidP="00631103">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9D6A002" wp14:editId="39C55C72">
                <wp:extent cx="3975735" cy="25400"/>
                <wp:effectExtent l="6350" t="0" r="8890" b="3175"/>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A7XknfZAIAAEs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T4QMIAAADbAAAADwAAAGRycy9kb3ducmV2LnhtbERPTU8CMRC9k/gfmjHhBi1iiFkoBDVG&#10;jSdQDtwm22G7oZ2ubV3Wf29NTLzNy/uc1WbwTvQUUxtYw2yqQBDXwbTcaPh4f5rcgUgZ2aALTBq+&#10;KcFmfTVaYWXChXfU73MjSginCjXYnLtKylRb8pimoSMu3ClEj7nA2EgT8VLCvZM3Si2kx5ZLg8WO&#10;HizV5/2X16B2nwurHt3rub/P/fHZvd0e2qj1+HrYLkFkGvK/+M/9Ysr8O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4T4QMIAAADbAAAADwAAAAAAAAAAAAAA&#10;AAChAgAAZHJzL2Rvd25yZXYueG1sUEsFBgAAAAAEAAQA+QAAAJADAAAAAA==&#10;" strokecolor="#004080" strokeweight="2pt"/>
                <w10:anchorlock/>
              </v:group>
            </w:pict>
          </mc:Fallback>
        </mc:AlternateContent>
      </w:r>
    </w:p>
    <w:p w:rsidR="00631103" w:rsidRDefault="00631103" w:rsidP="00631103">
      <w:pPr>
        <w:spacing w:before="92"/>
        <w:ind w:right="4234"/>
        <w:rPr>
          <w:rFonts w:ascii="Arial"/>
        </w:rPr>
      </w:pPr>
      <w:r>
        <w:rPr>
          <w:noProof/>
          <w:lang w:val="en-IN" w:eastAsia="en-IN"/>
        </w:rPr>
        <w:drawing>
          <wp:anchor distT="0" distB="0" distL="114300" distR="114300" simplePos="0" relativeHeight="251661312" behindDoc="0" locked="0" layoutInCell="1" allowOverlap="1" wp14:anchorId="1A54A9AB" wp14:editId="3CFDC988">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Pr>
          <w:rFonts w:ascii="Arial"/>
          <w:color w:val="BF5A14"/>
        </w:rPr>
        <w:t xml:space="preserve">                                          Biography (150 word limit)</w:t>
      </w:r>
    </w:p>
    <w:p w:rsidR="00631103" w:rsidRDefault="00631103" w:rsidP="00631103">
      <w:pPr>
        <w:spacing w:before="41" w:line="154" w:lineRule="exact"/>
        <w:ind w:left="213" w:right="231"/>
        <w:jc w:val="both"/>
        <w:rPr>
          <w:rFonts w:ascii="Arial"/>
          <w:sz w:val="14"/>
        </w:rPr>
      </w:pPr>
      <w:r>
        <w:rPr>
          <w:rFonts w:ascii="Arial"/>
          <w:sz w:val="14"/>
        </w:rPr>
        <w:t>Stevenson N A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rsidR="00631103" w:rsidRDefault="00631103" w:rsidP="00631103">
      <w:pPr>
        <w:spacing w:before="62"/>
        <w:ind w:left="4217" w:right="4235"/>
        <w:jc w:val="center"/>
        <w:rPr>
          <w:rFonts w:ascii="Arial"/>
          <w:sz w:val="14"/>
        </w:rPr>
      </w:pPr>
      <w:r>
        <w:rPr>
          <w:rFonts w:ascii="Arial"/>
          <w:sz w:val="14"/>
        </w:rPr>
        <w:t xml:space="preserve">Email: </w:t>
      </w:r>
      <w:hyperlink r:id="rId16" w:history="1">
        <w:r w:rsidRPr="00F0681C">
          <w:rPr>
            <w:rStyle w:val="Hyperlink"/>
            <w:rFonts w:ascii="Arial"/>
            <w:sz w:val="14"/>
          </w:rPr>
          <w:t>stevenson_n@proxy.com</w:t>
        </w:r>
      </w:hyperlink>
    </w:p>
    <w:p w:rsidR="00631103" w:rsidRDefault="00631103" w:rsidP="00631103">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125E93E0" wp14:editId="515BB18B">
                <wp:simplePos x="0" y="0"/>
                <wp:positionH relativeFrom="page">
                  <wp:posOffset>2058670</wp:posOffset>
                </wp:positionH>
                <wp:positionV relativeFrom="paragraph">
                  <wp:posOffset>168275</wp:posOffset>
                </wp:positionV>
                <wp:extent cx="3442335" cy="0"/>
                <wp:effectExtent l="10795" t="11430" r="13970" b="7620"/>
                <wp:wrapTopAndBottom/>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m65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Z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AR&#10;Qm65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631103" w:rsidRDefault="00631103" w:rsidP="00631103">
      <w:pPr>
        <w:pStyle w:val="BodyText"/>
        <w:rPr>
          <w:rFonts w:ascii="Arial"/>
          <w:sz w:val="20"/>
        </w:rPr>
      </w:pPr>
    </w:p>
    <w:p w:rsidR="00631103" w:rsidRDefault="00631103" w:rsidP="00631103">
      <w:pPr>
        <w:pStyle w:val="BodyText"/>
        <w:rPr>
          <w:rFonts w:ascii="Arial"/>
          <w:sz w:val="20"/>
        </w:rPr>
      </w:pPr>
    </w:p>
    <w:p w:rsidR="00631103" w:rsidRDefault="00631103" w:rsidP="00631103">
      <w:pPr>
        <w:pStyle w:val="BodyText"/>
        <w:spacing w:before="7"/>
        <w:rPr>
          <w:rFonts w:ascii="Arial"/>
          <w:sz w:val="29"/>
        </w:rPr>
      </w:pPr>
    </w:p>
    <w:p w:rsidR="00631103" w:rsidRPr="00B21A57" w:rsidRDefault="00631103" w:rsidP="00631103">
      <w:pPr>
        <w:spacing w:before="39"/>
        <w:ind w:left="100"/>
        <w:rPr>
          <w:rFonts w:ascii="Minion Pro"/>
          <w:b/>
          <w:sz w:val="20"/>
        </w:rPr>
      </w:pPr>
      <w:r w:rsidRPr="00B21A57">
        <w:rPr>
          <w:rFonts w:ascii="Minion Pro"/>
          <w:b/>
          <w:sz w:val="20"/>
        </w:rPr>
        <w:t>Notes/Comments:</w:t>
      </w:r>
    </w:p>
    <w:p w:rsidR="000A717B" w:rsidRDefault="00660BA2"/>
    <w:sectPr w:rsidR="000A717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BA2" w:rsidRDefault="00660BA2">
      <w:r>
        <w:separator/>
      </w:r>
    </w:p>
  </w:endnote>
  <w:endnote w:type="continuationSeparator" w:id="0">
    <w:p w:rsidR="00660BA2" w:rsidRDefault="00660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631103">
    <w:pPr>
      <w:pStyle w:val="Body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70EDF6F4" wp14:editId="7427ED6B">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31103">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631103">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631103">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631103">
                    <w:pPr>
                      <w:spacing w:before="8"/>
                      <w:ind w:left="20" w:right="-12"/>
                      <w:rPr>
                        <w:rFonts w:ascii="Arial"/>
                        <w:color w:val="FFFFFF" w:themeColor="background1"/>
                        <w:sz w:val="16"/>
                      </w:rPr>
                    </w:pPr>
                    <w:r w:rsidRPr="005B3A56">
                      <w:rPr>
                        <w:rFonts w:ascii="Arial"/>
                        <w:color w:val="FFFFFF" w:themeColor="background1"/>
                        <w:sz w:val="16"/>
                      </w:rPr>
                      <w:t>ISSN: 2167-0846 JPAR an open access</w:t>
                    </w:r>
                    <w:r w:rsidRPr="005B3A56">
                      <w:rPr>
                        <w:rFonts w:ascii="Arial"/>
                        <w:color w:val="FFFFFF" w:themeColor="background1"/>
                        <w:sz w:val="16"/>
                      </w:rPr>
                      <w:t xml:space="preserve">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3ACC0899" wp14:editId="4072B09F">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31103">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631103">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631103">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631103">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0AEE91D7" wp14:editId="7D5DA2EB">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31103">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63110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63110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63110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BA2" w:rsidRDefault="00660BA2">
      <w:r>
        <w:separator/>
      </w:r>
    </w:p>
  </w:footnote>
  <w:footnote w:type="continuationSeparator" w:id="0">
    <w:p w:rsidR="00660BA2" w:rsidRDefault="00660B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631103">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2B36781E" wp14:editId="63AADFA7">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31103">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631103">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2D52F1D2" wp14:editId="6213CB32">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31103">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63110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631103">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63110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1103"/>
    <w:rsid w:val="00631103"/>
    <w:rsid w:val="00660BA2"/>
    <w:rsid w:val="00A3188C"/>
    <w:rsid w:val="00B83174"/>
    <w:rsid w:val="00ED20A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31103"/>
    <w:pPr>
      <w:widowControl w:val="0"/>
      <w:spacing w:after="0" w:line="240" w:lineRule="auto"/>
    </w:pPr>
    <w:rPr>
      <w:rFonts w:ascii="Tw Cen MT" w:eastAsia="Tw Cen MT" w:hAnsi="Tw Cen MT" w:cs="Tw Cen MT"/>
      <w:lang w:val="en-US"/>
    </w:rPr>
  </w:style>
  <w:style w:type="paragraph" w:styleId="Heading3">
    <w:name w:val="heading 3"/>
    <w:basedOn w:val="Normal"/>
    <w:link w:val="Heading3Char"/>
    <w:uiPriority w:val="1"/>
    <w:qFormat/>
    <w:rsid w:val="00631103"/>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631103"/>
    <w:rPr>
      <w:rFonts w:ascii="Arial" w:eastAsia="Arial" w:hAnsi="Arial" w:cs="Arial"/>
      <w:b/>
      <w:bCs/>
      <w:sz w:val="20"/>
      <w:szCs w:val="20"/>
      <w:lang w:val="en-US"/>
    </w:rPr>
  </w:style>
  <w:style w:type="paragraph" w:styleId="BodyText">
    <w:name w:val="Body Text"/>
    <w:basedOn w:val="Normal"/>
    <w:link w:val="BodyTextChar"/>
    <w:uiPriority w:val="1"/>
    <w:qFormat/>
    <w:rsid w:val="00631103"/>
    <w:rPr>
      <w:sz w:val="18"/>
      <w:szCs w:val="18"/>
    </w:rPr>
  </w:style>
  <w:style w:type="character" w:customStyle="1" w:styleId="BodyTextChar">
    <w:name w:val="Body Text Char"/>
    <w:basedOn w:val="DefaultParagraphFont"/>
    <w:link w:val="BodyText"/>
    <w:uiPriority w:val="1"/>
    <w:rsid w:val="00631103"/>
    <w:rPr>
      <w:rFonts w:ascii="Tw Cen MT" w:eastAsia="Tw Cen MT" w:hAnsi="Tw Cen MT" w:cs="Tw Cen MT"/>
      <w:sz w:val="18"/>
      <w:szCs w:val="18"/>
      <w:lang w:val="en-US"/>
    </w:rPr>
  </w:style>
  <w:style w:type="paragraph" w:styleId="ListParagraph">
    <w:name w:val="List Paragraph"/>
    <w:basedOn w:val="Normal"/>
    <w:uiPriority w:val="1"/>
    <w:qFormat/>
    <w:rsid w:val="00631103"/>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63110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31103"/>
    <w:pPr>
      <w:widowControl w:val="0"/>
      <w:spacing w:after="0" w:line="240" w:lineRule="auto"/>
    </w:pPr>
    <w:rPr>
      <w:rFonts w:ascii="Tw Cen MT" w:eastAsia="Tw Cen MT" w:hAnsi="Tw Cen MT" w:cs="Tw Cen MT"/>
      <w:lang w:val="en-US"/>
    </w:rPr>
  </w:style>
  <w:style w:type="paragraph" w:styleId="Heading3">
    <w:name w:val="heading 3"/>
    <w:basedOn w:val="Normal"/>
    <w:link w:val="Heading3Char"/>
    <w:uiPriority w:val="1"/>
    <w:qFormat/>
    <w:rsid w:val="00631103"/>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631103"/>
    <w:rPr>
      <w:rFonts w:ascii="Arial" w:eastAsia="Arial" w:hAnsi="Arial" w:cs="Arial"/>
      <w:b/>
      <w:bCs/>
      <w:sz w:val="20"/>
      <w:szCs w:val="20"/>
      <w:lang w:val="en-US"/>
    </w:rPr>
  </w:style>
  <w:style w:type="paragraph" w:styleId="BodyText">
    <w:name w:val="Body Text"/>
    <w:basedOn w:val="Normal"/>
    <w:link w:val="BodyTextChar"/>
    <w:uiPriority w:val="1"/>
    <w:qFormat/>
    <w:rsid w:val="00631103"/>
    <w:rPr>
      <w:sz w:val="18"/>
      <w:szCs w:val="18"/>
    </w:rPr>
  </w:style>
  <w:style w:type="character" w:customStyle="1" w:styleId="BodyTextChar">
    <w:name w:val="Body Text Char"/>
    <w:basedOn w:val="DefaultParagraphFont"/>
    <w:link w:val="BodyText"/>
    <w:uiPriority w:val="1"/>
    <w:rsid w:val="00631103"/>
    <w:rPr>
      <w:rFonts w:ascii="Tw Cen MT" w:eastAsia="Tw Cen MT" w:hAnsi="Tw Cen MT" w:cs="Tw Cen MT"/>
      <w:sz w:val="18"/>
      <w:szCs w:val="18"/>
      <w:lang w:val="en-US"/>
    </w:rPr>
  </w:style>
  <w:style w:type="paragraph" w:styleId="ListParagraph">
    <w:name w:val="List Paragraph"/>
    <w:basedOn w:val="Normal"/>
    <w:uiPriority w:val="1"/>
    <w:qFormat/>
    <w:rsid w:val="00631103"/>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63110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stevenson_n@proxy.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502</Words>
  <Characters>2865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Biosimilars 2015</dc:creator>
  <cp:lastModifiedBy>Biosimilars 2015</cp:lastModifiedBy>
  <cp:revision>2</cp:revision>
  <dcterms:created xsi:type="dcterms:W3CDTF">2016-09-28T17:09:00Z</dcterms:created>
  <dcterms:modified xsi:type="dcterms:W3CDTF">2016-09-28T17:14:00Z</dcterms:modified>
</cp:coreProperties>
</file>