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C496F" w:rsidP="000534A1">
      <w:pPr>
        <w:pStyle w:val="Heading1"/>
        <w:spacing w:before="170"/>
        <w:ind w:left="0"/>
        <w:jc w:val="both"/>
      </w:pPr>
      <w:r w:rsidRPr="00AC496F">
        <w:rPr>
          <w:color w:val="337AB7"/>
        </w:rPr>
        <w:t xml:space="preserve">Multiple Drug Intolerance Syndrome and Multiple Drug Allergy Syndrome: Epidemiology and Associations with Anxiety </w:t>
      </w:r>
      <w:r w:rsidR="00CC786F">
        <w:rPr>
          <w:color w:val="337AB7"/>
        </w:rPr>
        <w:t>&amp;</w:t>
      </w:r>
      <w:r w:rsidRPr="00AC496F">
        <w:rPr>
          <w:color w:val="337AB7"/>
        </w:rPr>
        <w:t xml:space="preserve"> Depression</w:t>
      </w:r>
    </w:p>
    <w:p w:rsidR="00CC786F" w:rsidRDefault="00CC786F" w:rsidP="005973B9">
      <w:pPr>
        <w:pStyle w:val="BodyText"/>
        <w:spacing w:before="73" w:line="198" w:lineRule="exact"/>
        <w:ind w:left="100" w:right="5987"/>
        <w:rPr>
          <w:rFonts w:ascii="Arial"/>
          <w:b/>
          <w:i/>
        </w:rPr>
      </w:pPr>
    </w:p>
    <w:p w:rsidR="005973B9" w:rsidRPr="00CC786F" w:rsidRDefault="00CC786F" w:rsidP="005973B9">
      <w:pPr>
        <w:pStyle w:val="BodyText"/>
        <w:spacing w:before="73" w:line="198" w:lineRule="exact"/>
        <w:ind w:left="100" w:right="5987"/>
        <w:rPr>
          <w:rFonts w:ascii="Arial"/>
          <w:b/>
          <w:i/>
        </w:rPr>
      </w:pPr>
      <w:r>
        <w:rPr>
          <w:rFonts w:ascii="Arial"/>
          <w:b/>
          <w:i/>
        </w:rPr>
        <w:t xml:space="preserve">Kimberly </w:t>
      </w:r>
      <w:r w:rsidR="00AC496F" w:rsidRPr="00CC786F">
        <w:rPr>
          <w:rFonts w:ascii="Arial"/>
          <w:b/>
          <w:i/>
        </w:rPr>
        <w:t>Blumenthal</w:t>
      </w:r>
      <w:r w:rsidR="005973B9" w:rsidRPr="00CC786F">
        <w:rPr>
          <w:rFonts w:ascii="Arial"/>
          <w:b/>
          <w:i/>
        </w:rPr>
        <w:t xml:space="preserve">, </w:t>
      </w:r>
      <w:r>
        <w:rPr>
          <w:rFonts w:ascii="Arial"/>
          <w:b/>
          <w:i/>
        </w:rPr>
        <w:t>MD</w:t>
      </w:r>
      <w:r w:rsidR="005973B9" w:rsidRPr="00CC786F">
        <w:rPr>
          <w:rFonts w:ascii="Arial"/>
          <w:b/>
          <w:i/>
        </w:rPr>
        <w:t xml:space="preserve">, </w:t>
      </w:r>
      <w:r w:rsidR="00AC496F" w:rsidRPr="00CC786F">
        <w:rPr>
          <w:rFonts w:ascii="Arial"/>
          <w:b/>
          <w:i/>
        </w:rPr>
        <w:t>Massachusetts General Hospital, Boston</w:t>
      </w:r>
    </w:p>
    <w:p w:rsidR="00AE3E37" w:rsidRDefault="00AE3E37">
      <w:pPr>
        <w:pStyle w:val="BodyText"/>
        <w:rPr>
          <w:rFonts w:ascii="Arial"/>
          <w:sz w:val="20"/>
        </w:rPr>
      </w:pPr>
    </w:p>
    <w:p w:rsidR="00AE3E37" w:rsidRDefault="00AE3E37">
      <w:pPr>
        <w:rPr>
          <w:rFonts w:ascii="Arial"/>
          <w:sz w:val="21"/>
        </w:rPr>
        <w:sectPr w:rsidR="00AE3E37" w:rsidSect="008E5477">
          <w:headerReference w:type="default" r:id="rId8"/>
          <w:footerReference w:type="default" r:id="rId9"/>
          <w:type w:val="continuous"/>
          <w:pgSz w:w="11910" w:h="16840"/>
          <w:pgMar w:top="995" w:right="600" w:bottom="840" w:left="620" w:header="0" w:footer="0" w:gutter="0"/>
          <w:cols w:space="720"/>
          <w:docGrid w:linePitch="299"/>
        </w:sectPr>
      </w:pPr>
    </w:p>
    <w:p w:rsidR="00AE3E37" w:rsidRPr="00D10A92" w:rsidRDefault="00A9710C">
      <w:pPr>
        <w:pStyle w:val="Heading3"/>
        <w:spacing w:before="147"/>
        <w:jc w:val="both"/>
        <w:rPr>
          <w:rFonts w:ascii="Tw Cen MT" w:hAnsi="Tw Cen MT"/>
          <w:sz w:val="28"/>
          <w:szCs w:val="28"/>
        </w:rPr>
      </w:pPr>
      <w:r w:rsidRPr="00D10A92">
        <w:rPr>
          <w:rFonts w:ascii="Tw Cen MT" w:hAnsi="Tw Cen MT"/>
          <w:color w:val="BF5A14"/>
          <w:sz w:val="28"/>
          <w:szCs w:val="28"/>
        </w:rPr>
        <w:lastRenderedPageBreak/>
        <w:t>Abstract</w:t>
      </w:r>
      <w:r w:rsidR="00F765E8" w:rsidRPr="00D10A92">
        <w:rPr>
          <w:rFonts w:ascii="Tw Cen MT" w:hAnsi="Tw Cen MT"/>
          <w:color w:val="BF5A14"/>
          <w:sz w:val="28"/>
          <w:szCs w:val="28"/>
        </w:rPr>
        <w:t xml:space="preserve"> (6</w:t>
      </w:r>
      <w:r w:rsidR="00404E5B" w:rsidRPr="00D10A92">
        <w:rPr>
          <w:rFonts w:ascii="Tw Cen MT" w:hAnsi="Tw Cen MT"/>
          <w:color w:val="BF5A14"/>
          <w:sz w:val="28"/>
          <w:szCs w:val="28"/>
        </w:rPr>
        <w:t>00 word limit)</w:t>
      </w:r>
    </w:p>
    <w:p w:rsidR="00AE3E37" w:rsidRPr="00CC786F" w:rsidRDefault="006E51FD" w:rsidP="006E51FD">
      <w:pPr>
        <w:pStyle w:val="BodyText"/>
        <w:spacing w:before="90" w:line="280" w:lineRule="auto"/>
        <w:ind w:left="100"/>
        <w:jc w:val="both"/>
        <w:rPr>
          <w:rFonts w:asciiTheme="majorHAnsi" w:hAnsiTheme="majorHAnsi"/>
        </w:rPr>
      </w:pPr>
      <w:r w:rsidRPr="00CC786F">
        <w:rPr>
          <w:rFonts w:asciiTheme="majorHAnsi" w:hAnsiTheme="majorHAnsi"/>
        </w:rPr>
        <w:t xml:space="preserve">The epidemiology of Multiple Drug Intolerance Syndrome (MDIS) and Multiple Drug Allergy Syndrome (MDAS) are poorly characterized. We used electronic health record (EHR) data to describe </w:t>
      </w:r>
      <w:proofErr w:type="spellStart"/>
      <w:r w:rsidRPr="00CC786F">
        <w:rPr>
          <w:rFonts w:asciiTheme="majorHAnsi" w:hAnsiTheme="majorHAnsi"/>
        </w:rPr>
        <w:t>prevalences</w:t>
      </w:r>
      <w:proofErr w:type="spellEnd"/>
      <w:r w:rsidRPr="00CC786F">
        <w:rPr>
          <w:rFonts w:asciiTheme="majorHAnsi" w:hAnsiTheme="majorHAnsi"/>
        </w:rPr>
        <w:t xml:space="preserve"> of MDIS and MDAS and to examine associations with anxiety and depression. Patients with ≥3 outpatient encounters at Partners HealthCare System from 2008–2015 were included. MDIS patients had intolerances to ≥3 drug classes and MDAS patients had hypersensitivities to ≥2 drug classes. Psychiatric conditions and comorbidities were defined from the EHR, and used in multivariable logistic regression models to assess the relation between anxiety/depression and MDIS/MDAS. Of 746,888 patients, 47,634 (6.4%) had MDIS and 8,615 (1.2%) had MDAS; 3,171 (0.4%) had both. Anxiety (adjusted odds ratio [</w:t>
      </w:r>
      <w:proofErr w:type="spellStart"/>
      <w:r w:rsidRPr="00CC786F">
        <w:rPr>
          <w:rFonts w:asciiTheme="majorHAnsi" w:hAnsiTheme="majorHAnsi"/>
        </w:rPr>
        <w:t>aOR</w:t>
      </w:r>
      <w:proofErr w:type="spellEnd"/>
      <w:r w:rsidRPr="00CC786F">
        <w:rPr>
          <w:rFonts w:asciiTheme="majorHAnsi" w:hAnsiTheme="majorHAnsi"/>
        </w:rPr>
        <w:t>] 1.72 [1.65, 1.80]), depression (</w:t>
      </w:r>
      <w:proofErr w:type="spellStart"/>
      <w:r w:rsidRPr="00CC786F">
        <w:rPr>
          <w:rFonts w:asciiTheme="majorHAnsi" w:hAnsiTheme="majorHAnsi"/>
        </w:rPr>
        <w:t>aOR</w:t>
      </w:r>
      <w:proofErr w:type="spellEnd"/>
      <w:r w:rsidRPr="00CC786F">
        <w:rPr>
          <w:rFonts w:asciiTheme="majorHAnsi" w:hAnsiTheme="majorHAnsi"/>
        </w:rPr>
        <w:t xml:space="preserve"> 1.46 [1.41, 1.52]), and both anxiety and depression (</w:t>
      </w:r>
      <w:proofErr w:type="spellStart"/>
      <w:r w:rsidRPr="00CC786F">
        <w:rPr>
          <w:rFonts w:asciiTheme="majorHAnsi" w:hAnsiTheme="majorHAnsi"/>
        </w:rPr>
        <w:t>aOR</w:t>
      </w:r>
      <w:proofErr w:type="spellEnd"/>
      <w:r w:rsidRPr="00CC786F">
        <w:rPr>
          <w:rFonts w:asciiTheme="majorHAnsi" w:hAnsiTheme="majorHAnsi"/>
        </w:rPr>
        <w:t xml:space="preserve"> 1.97 [1.86, 2.08]) were associated with increased odds of MDIS. Depression was associated with increased odds of MDAS (</w:t>
      </w:r>
      <w:proofErr w:type="spellStart"/>
      <w:r w:rsidRPr="00CC786F">
        <w:rPr>
          <w:rFonts w:asciiTheme="majorHAnsi" w:hAnsiTheme="majorHAnsi"/>
        </w:rPr>
        <w:t>aOR</w:t>
      </w:r>
      <w:proofErr w:type="spellEnd"/>
      <w:r w:rsidRPr="00CC786F">
        <w:rPr>
          <w:rFonts w:asciiTheme="majorHAnsi" w:hAnsiTheme="majorHAnsi"/>
        </w:rPr>
        <w:t xml:space="preserve"> 1.41 [1.28, 1.56]), but there were neither clear associations with anxiety nor both depression and anxiety (</w:t>
      </w:r>
      <w:proofErr w:type="spellStart"/>
      <w:r w:rsidRPr="00CC786F">
        <w:rPr>
          <w:rFonts w:asciiTheme="majorHAnsi" w:hAnsiTheme="majorHAnsi"/>
        </w:rPr>
        <w:t>aOR</w:t>
      </w:r>
      <w:proofErr w:type="spellEnd"/>
      <w:r w:rsidRPr="00CC786F">
        <w:rPr>
          <w:rFonts w:asciiTheme="majorHAnsi" w:hAnsiTheme="majorHAnsi"/>
        </w:rPr>
        <w:t xml:space="preserve"> 1.13 [0.92, 1.38]). While 6% of patients had MDIS, only 1% had MDAS. MDIS was associated with both anxiety and depression; patients with both anxiety and depression had an almost 2-fold increased odds of MDIS. MDAS was associated with a 40% increased odds of depression, but there was no significant association with anxiety. Psychological assessments may be useful in the evaluation and treatment of patients with MDIS and MDAS; physiologic causes for MDAS warrant further investigation. Drug allergies are commonly reported by patients and documented in medical charts. Patients reporting any drug allergy history are likely to report allergies to multiple drug classes. Drug allergies documented in the electronic health record (EHR) can be intolerances, toxicities, or hypersensitivities (i.e., immunologic reactions). While definitions have varied, Multiple Drug Intolerance Syndrome (MDIS) describes patients who have non-immunologic reactions to three or more drug classes, and Multiple Drug Allergy Syndrome (MDAS) describes patients with hypersensitivity reactions to two or more drug classes. A third term, Multiple Drug Hypersensitivity (MDH) describes patients with proven hypersensitivities to two or more distinct drugs after drug allergy evaluation. MDIS occurs in about 2% of patients. While the prevalence of MDAS remains unknown, at least 5% of patients report one or more drug hypersensitivity, and at least 10% of those patients (or 0.5% of patients) have MDAS. Commonly described drug culprits in both MDIS and MDAS include antibiotics, </w:t>
      </w:r>
      <w:proofErr w:type="spellStart"/>
      <w:r w:rsidRPr="00CC786F">
        <w:rPr>
          <w:rFonts w:asciiTheme="majorHAnsi" w:hAnsiTheme="majorHAnsi"/>
        </w:rPr>
        <w:t>antiepileptics</w:t>
      </w:r>
      <w:proofErr w:type="spellEnd"/>
      <w:r w:rsidRPr="00CC786F">
        <w:rPr>
          <w:rFonts w:asciiTheme="majorHAnsi" w:hAnsiTheme="majorHAnsi"/>
        </w:rPr>
        <w:t xml:space="preserve">, hypnotics, antidepressants, local anesthetics, glucocorticoids, opiates, and </w:t>
      </w:r>
      <w:proofErr w:type="spellStart"/>
      <w:r w:rsidRPr="00CC786F">
        <w:rPr>
          <w:rFonts w:asciiTheme="majorHAnsi" w:hAnsiTheme="majorHAnsi"/>
        </w:rPr>
        <w:t>nonsteroidal</w:t>
      </w:r>
      <w:proofErr w:type="spellEnd"/>
      <w:r w:rsidRPr="00CC786F">
        <w:rPr>
          <w:rFonts w:asciiTheme="majorHAnsi" w:hAnsiTheme="majorHAnsi"/>
        </w:rPr>
        <w:t xml:space="preserve"> anti-inflammatory drugs (NSAIDs). </w:t>
      </w:r>
      <w:proofErr w:type="spellStart"/>
      <w:r w:rsidRPr="00CC786F">
        <w:rPr>
          <w:rFonts w:asciiTheme="majorHAnsi" w:hAnsiTheme="majorHAnsi"/>
        </w:rPr>
        <w:t>Urticaria</w:t>
      </w:r>
      <w:proofErr w:type="spellEnd"/>
      <w:r w:rsidRPr="00CC786F">
        <w:rPr>
          <w:rFonts w:asciiTheme="majorHAnsi" w:hAnsiTheme="majorHAnsi"/>
        </w:rPr>
        <w:t xml:space="preserve"> and angioedema are the most commonly described reactions in MDAS, although severe reactions (e.g., bullous exanthema, Stevens-Johnson syndrome, drug rash eosinophilia and systemic symptoms syndrome) have also been described in MDAS. Risk factors for MDIS include female sex, older age, greater weight, </w:t>
      </w:r>
      <w:r w:rsidRPr="00CC786F">
        <w:rPr>
          <w:rFonts w:asciiTheme="majorHAnsi" w:hAnsiTheme="majorHAnsi"/>
        </w:rPr>
        <w:lastRenderedPageBreak/>
        <w:t>prior hospitalizations, and multiple medical comorbidities. Female sex has also been identified as a risk factor for MDAS. Prior studies have suggested associations between MDIS and/or MDAS and various psychiatric comorbidities, including anxiety, depression, alexithymia, and somatization. However, to date, no clear relationship is defined. In this study, we used longitudinal EHR data to describe the epidemiology of reported MDIS and MDAS in a large United States healthcare system, and evaluated the relationship between anxiety, depression, MDIS, and MDAS. We performed a retrospective study of patients seen at Partners HealthCare System (PHS), an integrated health care delivery network in the Boston area, from January 1, 2008 through May 31, 2015. To improve cohort continuity, the study population included patients with at least one outpatient visit prior to 2008 and three or more visits from 2008 through 2015. MDAS patients had reactions to two or more drug classes with a possible immunologic mechanism.</w:t>
      </w:r>
    </w:p>
    <w:p w:rsidR="00F765E8" w:rsidRPr="00D10A92" w:rsidRDefault="00F765E8" w:rsidP="00F765E8">
      <w:pPr>
        <w:pStyle w:val="Heading3"/>
        <w:spacing w:before="147"/>
        <w:jc w:val="both"/>
        <w:rPr>
          <w:rFonts w:ascii="Tw Cen MT" w:hAnsi="Tw Cen MT"/>
          <w:sz w:val="28"/>
          <w:szCs w:val="28"/>
        </w:rPr>
      </w:pPr>
      <w:r w:rsidRPr="00D10A92">
        <w:rPr>
          <w:rFonts w:ascii="Tw Cen MT" w:hAnsi="Tw Cen MT"/>
          <w:color w:val="BF5A14"/>
          <w:sz w:val="28"/>
          <w:szCs w:val="28"/>
        </w:rPr>
        <w:t>Graphical abstract</w:t>
      </w:r>
    </w:p>
    <w:p w:rsidR="006E51FD" w:rsidRDefault="006E51FD" w:rsidP="006E51FD">
      <w:pPr>
        <w:pStyle w:val="BodyText"/>
        <w:spacing w:before="90" w:line="280" w:lineRule="auto"/>
        <w:ind w:left="100"/>
        <w:jc w:val="both"/>
      </w:pPr>
      <w:r>
        <w:rPr>
          <w:noProof/>
          <w:lang w:val="en-IN" w:eastAsia="en-IN"/>
        </w:rPr>
        <w:drawing>
          <wp:inline distT="0" distB="0" distL="0" distR="0">
            <wp:extent cx="3165475" cy="2384658"/>
            <wp:effectExtent l="0" t="0" r="0" b="0"/>
            <wp:docPr id="3" name="Picture 3" descr="An external file that holds a picture, illustration, etc.&#10;Object name is nihms951080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external file that holds a picture, illustration, etc.&#10;Object name is nihms951080u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384658"/>
                    </a:xfrm>
                    <a:prstGeom prst="rect">
                      <a:avLst/>
                    </a:prstGeom>
                    <a:noFill/>
                    <a:ln>
                      <a:noFill/>
                    </a:ln>
                  </pic:spPr>
                </pic:pic>
              </a:graphicData>
            </a:graphic>
          </wp:inline>
        </w:drawing>
      </w:r>
    </w:p>
    <w:p w:rsidR="00F765E8" w:rsidRDefault="00F765E8" w:rsidP="006E51FD">
      <w:pPr>
        <w:pStyle w:val="BodyText"/>
        <w:spacing w:before="90" w:line="280" w:lineRule="auto"/>
        <w:ind w:left="100"/>
        <w:jc w:val="both"/>
      </w:pPr>
    </w:p>
    <w:p w:rsidR="00F765E8" w:rsidRPr="00D10A92" w:rsidRDefault="00F765E8" w:rsidP="006E51FD">
      <w:pPr>
        <w:pStyle w:val="BodyText"/>
        <w:spacing w:before="90" w:line="280" w:lineRule="auto"/>
        <w:ind w:left="100"/>
        <w:jc w:val="both"/>
        <w:rPr>
          <w:b/>
          <w:color w:val="BF5A14"/>
          <w:sz w:val="28"/>
          <w:szCs w:val="28"/>
        </w:rPr>
      </w:pPr>
      <w:r w:rsidRPr="00D10A92">
        <w:rPr>
          <w:b/>
          <w:color w:val="BF5A14"/>
          <w:sz w:val="28"/>
          <w:szCs w:val="28"/>
        </w:rPr>
        <w:t>Importance of Research</w:t>
      </w:r>
      <w:r w:rsidR="006A197B" w:rsidRPr="00D10A92">
        <w:rPr>
          <w:b/>
          <w:color w:val="BF5A14"/>
          <w:sz w:val="28"/>
          <w:szCs w:val="28"/>
        </w:rPr>
        <w:t xml:space="preserve"> (200 word limit)</w:t>
      </w:r>
    </w:p>
    <w:p w:rsidR="00DE70C8" w:rsidRDefault="00DE6441" w:rsidP="006A197B">
      <w:pPr>
        <w:pStyle w:val="BodyText"/>
        <w:spacing w:before="90" w:line="280" w:lineRule="auto"/>
        <w:ind w:left="100"/>
        <w:jc w:val="both"/>
        <w:rPr>
          <w:rFonts w:ascii="Cambria" w:hAnsi="Cambria"/>
        </w:rPr>
      </w:pPr>
      <w:r w:rsidRPr="00CC786F">
        <w:rPr>
          <w:rFonts w:ascii="Cambria" w:hAnsi="Cambria"/>
        </w:rPr>
        <w:t xml:space="preserve">Among 746,888 PHS patients meeting visit criteria, 44,463 had MDIS only, 5,444 had MDAS only; 3,171 (0.42%) had both MDIS and MDAS, and 693,810 (92.9%) had neither MDIS </w:t>
      </w:r>
      <w:proofErr w:type="spellStart"/>
      <w:r w:rsidRPr="00CC786F">
        <w:rPr>
          <w:rFonts w:ascii="Cambria" w:hAnsi="Cambria"/>
        </w:rPr>
        <w:t>not</w:t>
      </w:r>
      <w:proofErr w:type="spellEnd"/>
      <w:r w:rsidRPr="00CC786F">
        <w:rPr>
          <w:rFonts w:ascii="Cambria" w:hAnsi="Cambria"/>
        </w:rPr>
        <w:t xml:space="preserve"> MDAS. The overall prevalence rate was 6.4% (N=47,634) for MDIS and 1.2% (N=8,615) for MDAS. MDIS patients had reactions to a total of 194,101 culprit drugs (4.1±1.7 per patient). MDAS patients had reactions to 20,307 culprit drugs (2.4±0.8 per patient, Supplemental Table 4). The most common causative drugs were similar for MDIS and MDAS, and included </w:t>
      </w:r>
      <w:proofErr w:type="spellStart"/>
      <w:r w:rsidRPr="00CC786F">
        <w:rPr>
          <w:rFonts w:ascii="Cambria" w:hAnsi="Cambria"/>
        </w:rPr>
        <w:t>penicillins</w:t>
      </w:r>
      <w:proofErr w:type="spellEnd"/>
      <w:r w:rsidRPr="00CC786F">
        <w:rPr>
          <w:rFonts w:ascii="Cambria" w:hAnsi="Cambria"/>
        </w:rPr>
        <w:t xml:space="preserve">, opiates, sulfonamides, NSAIDs, </w:t>
      </w:r>
      <w:proofErr w:type="spellStart"/>
      <w:r w:rsidRPr="00CC786F">
        <w:rPr>
          <w:rFonts w:ascii="Cambria" w:hAnsi="Cambria"/>
        </w:rPr>
        <w:t>cephalosporins</w:t>
      </w:r>
      <w:proofErr w:type="spellEnd"/>
      <w:r w:rsidRPr="00CC786F">
        <w:rPr>
          <w:rFonts w:ascii="Cambria" w:hAnsi="Cambria"/>
        </w:rPr>
        <w:t xml:space="preserve">, macrolide antibiotics, and </w:t>
      </w:r>
      <w:proofErr w:type="spellStart"/>
      <w:r w:rsidRPr="00CC786F">
        <w:rPr>
          <w:rFonts w:ascii="Cambria" w:hAnsi="Cambria"/>
        </w:rPr>
        <w:t>radiocontrast</w:t>
      </w:r>
      <w:proofErr w:type="spellEnd"/>
      <w:r w:rsidRPr="00CC786F">
        <w:rPr>
          <w:rFonts w:ascii="Cambria" w:hAnsi="Cambria"/>
        </w:rPr>
        <w:t xml:space="preserve"> media. Angiotensin converting enzyme inhibitors and 3-hydroxy-3-methylglutaryl coenzyme A </w:t>
      </w:r>
      <w:proofErr w:type="spellStart"/>
      <w:r w:rsidRPr="00CC786F">
        <w:rPr>
          <w:rFonts w:ascii="Cambria" w:hAnsi="Cambria"/>
        </w:rPr>
        <w:t>reductase</w:t>
      </w:r>
      <w:proofErr w:type="spellEnd"/>
      <w:r w:rsidRPr="00CC786F">
        <w:rPr>
          <w:rFonts w:ascii="Cambria" w:hAnsi="Cambria"/>
        </w:rPr>
        <w:t xml:space="preserve"> inhibitors were among the most common drug classes causing reactions in MDIS patients, but not MDAS patients; calcium channel blockers and quinolone antibiotics were among the most common drug classes causing reactions in MDAS patients, but not MDIS patients. MDAS patients </w:t>
      </w:r>
    </w:p>
    <w:p w:rsidR="00DE70C8" w:rsidRDefault="00DE70C8" w:rsidP="006A197B">
      <w:pPr>
        <w:pStyle w:val="BodyText"/>
        <w:spacing w:before="90" w:line="280" w:lineRule="auto"/>
        <w:ind w:left="100"/>
        <w:jc w:val="both"/>
        <w:rPr>
          <w:rFonts w:ascii="Cambria" w:hAnsi="Cambria"/>
        </w:rPr>
      </w:pPr>
    </w:p>
    <w:p w:rsidR="006A197B" w:rsidRPr="00CC786F" w:rsidRDefault="00DE6441" w:rsidP="00DE70C8">
      <w:pPr>
        <w:pStyle w:val="BodyText"/>
        <w:spacing w:before="90" w:line="280" w:lineRule="auto"/>
        <w:ind w:left="100"/>
        <w:jc w:val="both"/>
        <w:rPr>
          <w:rFonts w:ascii="Cambria" w:hAnsi="Cambria"/>
        </w:rPr>
      </w:pPr>
      <w:r w:rsidRPr="00CC786F">
        <w:rPr>
          <w:rFonts w:ascii="Cambria" w:hAnsi="Cambria"/>
        </w:rPr>
        <w:t xml:space="preserve">reported 17,196 reactions suggestive of Type I HSRs, including </w:t>
      </w:r>
      <w:proofErr w:type="spellStart"/>
      <w:r w:rsidRPr="00CC786F">
        <w:rPr>
          <w:rFonts w:ascii="Cambria" w:hAnsi="Cambria"/>
        </w:rPr>
        <w:t>urticaria</w:t>
      </w:r>
      <w:proofErr w:type="spellEnd"/>
      <w:r w:rsidRPr="00CC786F">
        <w:rPr>
          <w:rFonts w:ascii="Cambria" w:hAnsi="Cambria"/>
        </w:rPr>
        <w:t xml:space="preserve"> (21.7% of reactions in 43.2% of MDAS patients), itching (10.1% of reactions in 20.1% of MDAS patients), </w:t>
      </w:r>
      <w:r w:rsidRPr="00CC786F">
        <w:rPr>
          <w:rFonts w:ascii="Cambria" w:hAnsi="Cambria"/>
        </w:rPr>
        <w:lastRenderedPageBreak/>
        <w:t>angioedema/swelling (12.1% of reactions in 24.2% of MDAS patients), shortness of breath (6.7% of reactions in 13.3% of MDAS patients), anaphylaxis (6.5% of reactions in 13.0% of MDAS patients), and rhinitis (0.1% of reactions in 0.3% of MDAS patients).</w:t>
      </w:r>
    </w:p>
    <w:p w:rsidR="00DE70C8" w:rsidRDefault="00DE70C8" w:rsidP="00DE70C8">
      <w:pPr>
        <w:spacing w:line="204" w:lineRule="exact"/>
        <w:rPr>
          <w:rFonts w:ascii="Calibri" w:hAnsi="Calibri"/>
        </w:rPr>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rsidP="00D10A92">
      <w:pPr>
        <w:pStyle w:val="BodyText"/>
        <w:spacing w:line="40" w:lineRule="exact"/>
        <w:rPr>
          <w:rFonts w:ascii="Calibri"/>
          <w:sz w:val="4"/>
        </w:rPr>
      </w:pPr>
    </w:p>
    <w:p w:rsidR="00AE3E37" w:rsidRPr="00DE70C8" w:rsidRDefault="00DE70C8" w:rsidP="00404E5B">
      <w:pPr>
        <w:spacing w:before="92"/>
        <w:ind w:right="4234"/>
        <w:rPr>
          <w:noProof/>
        </w:rPr>
      </w:pPr>
      <w:r>
        <w:rPr>
          <w:noProof/>
        </w:rPr>
        <w:t xml:space="preserve">  </w:t>
      </w:r>
      <w:r w:rsidR="00A9710C" w:rsidRPr="00D10A92">
        <w:rPr>
          <w:b/>
          <w:color w:val="BF5A14"/>
          <w:sz w:val="28"/>
        </w:rPr>
        <w:t>Biography</w:t>
      </w:r>
      <w:r>
        <w:rPr>
          <w:b/>
          <w:color w:val="BF5A14"/>
          <w:sz w:val="28"/>
        </w:rPr>
        <w:t xml:space="preserve"> (200</w:t>
      </w:r>
      <w:r w:rsidR="00404E5B" w:rsidRPr="00D10A92">
        <w:rPr>
          <w:b/>
          <w:color w:val="BF5A14"/>
          <w:sz w:val="28"/>
        </w:rPr>
        <w:t xml:space="preserve"> word limit)</w:t>
      </w:r>
      <w:r w:rsidR="00A52075" w:rsidRPr="00D10A92">
        <w:rPr>
          <w:rFonts w:cs="Times New Roman"/>
          <w:b/>
          <w:sz w:val="32"/>
          <w:szCs w:val="24"/>
        </w:rPr>
        <w:t xml:space="preserve"> </w:t>
      </w:r>
    </w:p>
    <w:p w:rsidR="00D10A92" w:rsidRDefault="00D10A92" w:rsidP="00404E5B">
      <w:pPr>
        <w:spacing w:before="92"/>
        <w:ind w:right="4234"/>
        <w:rPr>
          <w:rFonts w:ascii="Arial"/>
        </w:rPr>
      </w:pPr>
      <w:r>
        <w:rPr>
          <w:noProof/>
          <w:lang w:val="en-IN" w:eastAsia="en-IN"/>
        </w:rPr>
        <w:drawing>
          <wp:inline distT="0" distB="0" distL="0" distR="0" wp14:anchorId="65083C19" wp14:editId="07F6748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Pr="00CC786F" w:rsidRDefault="006641C5" w:rsidP="00CC786F">
      <w:pPr>
        <w:spacing w:before="41" w:line="276" w:lineRule="auto"/>
        <w:ind w:left="213" w:right="231"/>
        <w:jc w:val="both"/>
        <w:rPr>
          <w:rFonts w:asciiTheme="majorHAnsi" w:hAnsiTheme="majorHAnsi"/>
          <w:sz w:val="18"/>
          <w:szCs w:val="18"/>
        </w:rPr>
      </w:pPr>
      <w:r w:rsidRPr="00CC786F">
        <w:rPr>
          <w:rFonts w:asciiTheme="majorHAnsi" w:hAnsiTheme="majorHAnsi"/>
          <w:sz w:val="18"/>
          <w:szCs w:val="18"/>
        </w:rPr>
        <w:t>Kimberly Blumenthal, MD, MSc is an Allergist/Immunologist and drug allergy researcher at Massachusetts General Hospital and Assistant Professor of Medicine at Harvard Medical School.  She is the Co-Director of the Clinical Epidemiology Program within the Division of Rheumatology Allergy and Immunology and the Quality and Safety Officer for Allergy at the Edward P. Lawrence Center for Quality and Safety. Dr. Blumenthal performs drug allergy research that uses methods of epidemiology, informatics, economics, and decision science.</w:t>
      </w:r>
      <w:r w:rsidR="006A197B" w:rsidRPr="00CC786F">
        <w:rPr>
          <w:rFonts w:asciiTheme="majorHAnsi" w:hAnsiTheme="majorHAnsi"/>
          <w:sz w:val="18"/>
          <w:szCs w:val="18"/>
        </w:rPr>
        <w:t xml:space="preserve"> Her research is funded by the NIH/NIAID, AHRQ, and foundations, including the American Academy of Allergy, Asthma, and Immunology Foundation and CRICO, the risk management foundation.  Dr. Blumenthal is recognized nationally for having identified the morbidity and mortality associated with unverified penicillin allergy labels and creating innovative approaches to the evaluation of penicillin and cephalosporin antibiotic allergies in the hospital setting. Dr. Blumenthal has authored more than 60 peer-reviewed publications including manuscripts published in high-impact journals such as Lancet, JAMA, and the BMJ.</w:t>
      </w:r>
    </w:p>
    <w:p w:rsidR="00AE3E37" w:rsidRDefault="00A9710C" w:rsidP="00CC786F">
      <w:pPr>
        <w:spacing w:before="62" w:line="276" w:lineRule="auto"/>
        <w:ind w:left="4217" w:right="4235"/>
        <w:jc w:val="center"/>
        <w:rPr>
          <w:rFonts w:asciiTheme="majorHAnsi" w:hAnsiTheme="majorHAnsi"/>
          <w:sz w:val="18"/>
          <w:szCs w:val="18"/>
        </w:rPr>
      </w:pPr>
      <w:r w:rsidRPr="00CC786F">
        <w:rPr>
          <w:rFonts w:asciiTheme="majorHAnsi" w:hAnsiTheme="majorHAnsi"/>
          <w:sz w:val="18"/>
          <w:szCs w:val="18"/>
        </w:rPr>
        <w:t xml:space="preserve">Email: </w:t>
      </w:r>
      <w:hyperlink r:id="rId12" w:history="1">
        <w:r w:rsidR="00DE70C8" w:rsidRPr="008C64BD">
          <w:rPr>
            <w:rStyle w:val="Hyperlink"/>
            <w:rFonts w:asciiTheme="majorHAnsi" w:hAnsiTheme="majorHAnsi"/>
            <w:sz w:val="18"/>
            <w:szCs w:val="18"/>
          </w:rPr>
          <w:t>kim.grotrap@5lahtneulbk</w:t>
        </w:r>
      </w:hyperlink>
    </w:p>
    <w:p w:rsidR="00CC786F" w:rsidRPr="00CC786F" w:rsidRDefault="00CC786F" w:rsidP="00CC786F">
      <w:pPr>
        <w:spacing w:before="62" w:line="276" w:lineRule="auto"/>
        <w:ind w:left="4217" w:right="4235"/>
        <w:jc w:val="center"/>
        <w:rPr>
          <w:rFonts w:asciiTheme="majorHAnsi" w:hAnsiTheme="majorHAnsi"/>
          <w:sz w:val="18"/>
          <w:szCs w:val="18"/>
        </w:rPr>
      </w:pPr>
    </w:p>
    <w:p w:rsidR="00D10A92" w:rsidRDefault="00D10A92" w:rsidP="00D10A92">
      <w:pPr>
        <w:spacing w:line="204" w:lineRule="exact"/>
        <w:rPr>
          <w:b/>
          <w:color w:val="BF5A14"/>
          <w:sz w:val="28"/>
        </w:rPr>
      </w:pPr>
      <w:r w:rsidRPr="00D10A92">
        <w:rPr>
          <w:b/>
          <w:color w:val="BF5A14"/>
          <w:sz w:val="28"/>
        </w:rPr>
        <w:t>Information of Institute (200 word limit)</w:t>
      </w:r>
    </w:p>
    <w:p w:rsidR="00D10A92" w:rsidRPr="00D10A92" w:rsidRDefault="00D10A92" w:rsidP="00D10A92">
      <w:pPr>
        <w:spacing w:line="204" w:lineRule="exact"/>
        <w:rPr>
          <w:b/>
          <w:color w:val="BF5A14"/>
          <w:sz w:val="20"/>
        </w:rPr>
      </w:pPr>
    </w:p>
    <w:p w:rsidR="00D10A92" w:rsidRPr="00CC786F" w:rsidRDefault="00D10A92" w:rsidP="00CC786F">
      <w:pPr>
        <w:spacing w:line="276" w:lineRule="auto"/>
        <w:jc w:val="both"/>
        <w:rPr>
          <w:rFonts w:asciiTheme="majorHAnsi" w:hAnsiTheme="majorHAnsi"/>
          <w:sz w:val="18"/>
        </w:rPr>
      </w:pPr>
      <w:r w:rsidRPr="00CC786F">
        <w:rPr>
          <w:rFonts w:asciiTheme="majorHAnsi" w:hAnsiTheme="majorHAnsi"/>
          <w:sz w:val="18"/>
        </w:rPr>
        <w:t>Massachusetts General Hospital (Mass General or MGH) is the original and largest teaching hospital of Harvard Medical School located in the West End neighborhood of Boston, Massachusetts. It is the third oldest general hospital in the United States and has a capacity of 999 beds. With Brigham and Women's Hospital, it is one of the two founding members of Mass General Brigham (formerly known as Partners HealthCare), the largest healthcare provider in Massachusetts. Massachusetts General Hospital conducts the largest hospital-based research program in the world, with an annual research budget of more than $1 billion in 2019. It is currently ranked as the #5 best hospital in the United States by U.S. News &amp; World Report. In November 2017, The Boston Globe ranked MGH the fifth best place to work out of Massachusetts companies with over 1,000 employees.</w:t>
      </w:r>
    </w:p>
    <w:p w:rsidR="006A197B" w:rsidRDefault="006A197B" w:rsidP="006A197B">
      <w:pPr>
        <w:spacing w:before="62"/>
        <w:ind w:right="4235"/>
        <w:rPr>
          <w:rFonts w:ascii="Arial"/>
          <w:sz w:val="14"/>
        </w:rPr>
      </w:pPr>
    </w:p>
    <w:p w:rsidR="00AE3E37" w:rsidRDefault="00AE3E37">
      <w:pPr>
        <w:pStyle w:val="BodyText"/>
        <w:rPr>
          <w:rFonts w:ascii="Arial"/>
          <w:sz w:val="20"/>
        </w:rPr>
      </w:pPr>
    </w:p>
    <w:p w:rsidR="00AE3E37" w:rsidRDefault="006A197B">
      <w:pPr>
        <w:pStyle w:val="BodyText"/>
        <w:spacing w:before="7"/>
        <w:rPr>
          <w:rFonts w:ascii="Arial"/>
          <w:sz w:val="29"/>
        </w:rPr>
      </w:pPr>
      <w:r>
        <w:rPr>
          <w:noProof/>
          <w:lang w:val="en-IN" w:eastAsia="en-IN"/>
        </w:rPr>
        <w:drawing>
          <wp:inline distT="0" distB="0" distL="0" distR="0">
            <wp:extent cx="4876800" cy="2143125"/>
            <wp:effectExtent l="0" t="0" r="0" b="9525"/>
            <wp:docPr id="1" name="Picture 1" descr="Emergency Al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rgency Aler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6800" cy="2143125"/>
                    </a:xfrm>
                    <a:prstGeom prst="rect">
                      <a:avLst/>
                    </a:prstGeom>
                    <a:noFill/>
                    <a:ln>
                      <a:noFill/>
                    </a:ln>
                  </pic:spPr>
                </pic:pic>
              </a:graphicData>
            </a:graphic>
          </wp:inline>
        </w:drawing>
      </w:r>
    </w:p>
    <w:p w:rsidR="00EA7D51" w:rsidRDefault="00EA7D51" w:rsidP="000534A1">
      <w:pPr>
        <w:spacing w:before="39"/>
        <w:ind w:left="100"/>
        <w:rPr>
          <w:rFonts w:ascii="Minion Pro"/>
          <w:b/>
          <w:sz w:val="20"/>
        </w:rPr>
      </w:pPr>
    </w:p>
    <w:p w:rsidR="00CC786F" w:rsidRDefault="00CC786F" w:rsidP="00D10A92">
      <w:pPr>
        <w:spacing w:line="204" w:lineRule="exact"/>
        <w:rPr>
          <w:b/>
          <w:i/>
          <w:color w:val="BF5A14"/>
          <w:sz w:val="28"/>
        </w:rPr>
      </w:pPr>
    </w:p>
    <w:p w:rsidR="00D10A92" w:rsidRPr="00D10A92" w:rsidRDefault="00D10A92" w:rsidP="00D10A92">
      <w:pPr>
        <w:spacing w:line="204" w:lineRule="exact"/>
        <w:rPr>
          <w:b/>
          <w:i/>
          <w:color w:val="BF5A14"/>
          <w:sz w:val="28"/>
        </w:rPr>
      </w:pPr>
      <w:r w:rsidRPr="00D10A92">
        <w:rPr>
          <w:b/>
          <w:i/>
          <w:color w:val="BF5A14"/>
          <w:sz w:val="28"/>
        </w:rPr>
        <w:t>References</w:t>
      </w:r>
      <w:r w:rsidR="00DE70C8">
        <w:rPr>
          <w:b/>
          <w:i/>
          <w:color w:val="BF5A14"/>
          <w:sz w:val="28"/>
        </w:rPr>
        <w:t xml:space="preserve"> </w:t>
      </w:r>
    </w:p>
    <w:p w:rsidR="00D10A92" w:rsidRDefault="00D10A92" w:rsidP="00D10A92">
      <w:pPr>
        <w:spacing w:line="204" w:lineRule="exact"/>
        <w:rPr>
          <w:rFonts w:ascii="Arial"/>
          <w:b/>
          <w:color w:val="BF5A14"/>
          <w:sz w:val="20"/>
        </w:rPr>
      </w:pP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Zhou L, Dhopeshwarkar N, Blumenthal KG, Goss F, Topaz M, Slight SP, et al. Drug allergies documented in electronic health records of a large healthcare system. Allergy. 2016;71:1305–13.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Macy E, Ho NJ. Multiple drug intolerance syndrome: Prevalence, clinical characteristics, and management. Ann Allergy Asthma Immunol. 2012;108:88–93. [PubMed] [Google Scholar]</w:t>
      </w:r>
    </w:p>
    <w:p w:rsid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Macy E. Multiple antibiotic allergy syndrome. Immunol Allergy Clin North Am. 2004;24:533–43. viii. [PubMed] [Google Scholar]</w:t>
      </w:r>
    </w:p>
    <w:p w:rsidR="00DE70C8" w:rsidRDefault="00DE70C8" w:rsidP="00DE70C8">
      <w:pPr>
        <w:spacing w:line="204" w:lineRule="exact"/>
        <w:rPr>
          <w:color w:val="000000" w:themeColor="text1"/>
          <w:sz w:val="20"/>
        </w:rPr>
      </w:pPr>
    </w:p>
    <w:p w:rsidR="00DE70C8" w:rsidRPr="00DE70C8" w:rsidRDefault="00DE70C8" w:rsidP="00DE70C8">
      <w:pPr>
        <w:spacing w:line="204" w:lineRule="exact"/>
        <w:rPr>
          <w:color w:val="000000" w:themeColor="text1"/>
          <w:sz w:val="20"/>
        </w:rPr>
      </w:pP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Lange L, Koningsbruggen SV, Rietschel E. Questionnaire-based survey of lifetime-prevalence and character of allergic drug reactions in German children. Pediatr Allergy Immunol. 2008;19:634–8.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Gomes E, Cardoso MF, Praca F, Gomes L, Marino E, Demoly P. Self-reported drug allergy in a general adult Portuguese population. Clin Exp Allergy. 2004;34:1597–601.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Pichler WJ, Daubner B, Kawabata T. Drug hypersensitivity: Flare-up reactions, cross-reactivity and multiple drug hypersensitivity. J Dermatol. 2011;38:216–21.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Blumenthal KG, Park MA, Macy EM. Redesigning the allergy module of the electronic health record. Ann Allergy Asthma Immunol. 2016;117:126–31.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Studer M, Waton J, Bursztejn AC, Aimone-Gastin I, Schmutz JL, Barbaud A. [Does hypersensitivity to multiple drugs really exist?] Ann Dermatol Venereol. 2012;139:375–80.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Chiriac AM, Demoly P. Multiple drug hypersensitivity syndrome. Curr Opin Allergy Clin Immunol. 2013;13:323–9.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Gex-Collet C, Helbling A, Pichler WJ. Multiple drug hypersensitivity—proof of multiple drug hypersensitivity by patch and lymphocyte transformation tests. J Investig Allergol Clin Immunol. 2005;15:293–6.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Omer HM, Hodson J, Thomas SK, Coleman JJ. Multiple drug intolerance syndrome: A large-scale retrospective study. Drug Saf. 2014;37:1037–45. [PMC free article]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Dioun AF. Management of multiple drug allergies in children. Curr Allergy Asthma Rep. 2012;12:79–84.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Gell PGH, Coombs RA. The classification of allergic reactions underlying disease. First. Oxford, England: Blackwell; 1963.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Asero R, Tedeschi A, Lorini M, Caldironi G, Barocci F. Sera from patients with multiple drug allergy syndrome contain circulating histamine-releasing factors. Int Arch Allergy Immunol. 2003;131:195–200. [PubMed] [Google Scholar]</w:t>
      </w:r>
    </w:p>
    <w:p w:rsidR="00D10A92" w:rsidRPr="00D10A92" w:rsidRDefault="00D10A92" w:rsidP="00D10A92">
      <w:pPr>
        <w:pStyle w:val="ListParagraph"/>
        <w:numPr>
          <w:ilvl w:val="0"/>
          <w:numId w:val="4"/>
        </w:numPr>
        <w:spacing w:line="204" w:lineRule="exact"/>
        <w:rPr>
          <w:color w:val="000000" w:themeColor="text1"/>
          <w:sz w:val="20"/>
        </w:rPr>
      </w:pPr>
      <w:r w:rsidRPr="00D10A92">
        <w:rPr>
          <w:color w:val="000000" w:themeColor="text1"/>
          <w:sz w:val="20"/>
        </w:rPr>
        <w:t>Demoly P, Adkinson NF, Brockow K, Castells M, Chiriac AM, Greenberger PA, et al. International consensus on drug allergy. Allergy. 2014;69:420–37. [PubMed] [Google Scholar]</w:t>
      </w:r>
    </w:p>
    <w:p w:rsidR="00D10A92" w:rsidRPr="00D10A92" w:rsidRDefault="00D10A92" w:rsidP="000534A1">
      <w:pPr>
        <w:spacing w:before="39"/>
        <w:ind w:left="100"/>
        <w:rPr>
          <w:color w:val="000000" w:themeColor="text1"/>
          <w:sz w:val="20"/>
        </w:rPr>
      </w:pPr>
    </w:p>
    <w:p w:rsidR="00EA7D51" w:rsidRDefault="00EA7D51" w:rsidP="000534A1">
      <w:pPr>
        <w:spacing w:before="39"/>
        <w:ind w:left="100"/>
        <w:rPr>
          <w:rFonts w:ascii="Minion Pro"/>
          <w:b/>
          <w:sz w:val="20"/>
        </w:rPr>
      </w:pPr>
    </w:p>
    <w:p w:rsidR="00D10A92" w:rsidRPr="00DE70C8" w:rsidRDefault="00D10A92" w:rsidP="00D10A92">
      <w:pPr>
        <w:autoSpaceDE w:val="0"/>
        <w:autoSpaceDN w:val="0"/>
        <w:adjustRightInd w:val="0"/>
        <w:rPr>
          <w:b/>
          <w:i/>
          <w:sz w:val="24"/>
          <w:szCs w:val="20"/>
          <w:u w:val="single"/>
          <w:lang w:val="en-NZ"/>
        </w:rPr>
      </w:pPr>
      <w:r w:rsidRPr="00DE70C8">
        <w:rPr>
          <w:b/>
          <w:i/>
          <w:sz w:val="24"/>
          <w:szCs w:val="20"/>
          <w:u w:val="single"/>
          <w:lang w:val="en-NZ"/>
        </w:rPr>
        <w:t>Presenting author details</w:t>
      </w:r>
    </w:p>
    <w:p w:rsidR="00D10A92" w:rsidRPr="00DE70C8" w:rsidRDefault="00EA7D51" w:rsidP="00D10A92">
      <w:pPr>
        <w:autoSpaceDE w:val="0"/>
        <w:autoSpaceDN w:val="0"/>
        <w:adjustRightInd w:val="0"/>
        <w:rPr>
          <w:sz w:val="20"/>
          <w:szCs w:val="20"/>
          <w:lang w:val="en-NZ"/>
        </w:rPr>
      </w:pPr>
      <w:r w:rsidRPr="00F35A62">
        <w:rPr>
          <w:b/>
          <w:sz w:val="20"/>
          <w:szCs w:val="20"/>
          <w:lang w:val="en-NZ"/>
        </w:rPr>
        <w:br/>
      </w:r>
      <w:r w:rsidRPr="00DE70C8">
        <w:rPr>
          <w:b/>
          <w:sz w:val="20"/>
          <w:szCs w:val="20"/>
          <w:lang w:val="en-NZ"/>
        </w:rPr>
        <w:t>Full name</w:t>
      </w:r>
      <w:r w:rsidRPr="00DE70C8">
        <w:rPr>
          <w:sz w:val="20"/>
          <w:szCs w:val="20"/>
          <w:lang w:val="en-NZ"/>
        </w:rPr>
        <w:t xml:space="preserve">: </w:t>
      </w:r>
      <w:r w:rsidR="00DE70C8" w:rsidRPr="00DE70C8">
        <w:rPr>
          <w:sz w:val="20"/>
          <w:szCs w:val="20"/>
          <w:lang w:val="en-NZ"/>
        </w:rPr>
        <w:t xml:space="preserve">Kimberly </w:t>
      </w:r>
      <w:r w:rsidR="00D10A92" w:rsidRPr="00DE70C8">
        <w:rPr>
          <w:sz w:val="20"/>
          <w:szCs w:val="20"/>
          <w:lang w:val="en-NZ"/>
        </w:rPr>
        <w:t>Blumenthal</w:t>
      </w:r>
      <w:r w:rsidRPr="00DE70C8">
        <w:rPr>
          <w:sz w:val="20"/>
          <w:szCs w:val="20"/>
          <w:lang w:val="en-NZ"/>
        </w:rPr>
        <w:br/>
      </w:r>
      <w:r w:rsidR="00D10A92" w:rsidRPr="00DE70C8">
        <w:rPr>
          <w:b/>
          <w:sz w:val="20"/>
          <w:szCs w:val="20"/>
          <w:lang w:val="en-NZ"/>
        </w:rPr>
        <w:t>Affiliation</w:t>
      </w:r>
      <w:r w:rsidR="00D10A92" w:rsidRPr="00DE70C8">
        <w:rPr>
          <w:sz w:val="20"/>
          <w:szCs w:val="20"/>
          <w:lang w:val="en-NZ"/>
        </w:rPr>
        <w:t>: Quality and Safety Officer for Allergy, Massachusetts General Hospital</w:t>
      </w:r>
    </w:p>
    <w:p w:rsidR="00EA7D51" w:rsidRPr="00DE70C8" w:rsidRDefault="00D10A92" w:rsidP="00CC786F">
      <w:pPr>
        <w:autoSpaceDE w:val="0"/>
        <w:autoSpaceDN w:val="0"/>
        <w:adjustRightInd w:val="0"/>
        <w:rPr>
          <w:sz w:val="18"/>
          <w:szCs w:val="20"/>
          <w:lang w:val="en-NZ"/>
        </w:rPr>
        <w:sectPr w:rsidR="00EA7D51" w:rsidRPr="00DE70C8" w:rsidSect="008E5477">
          <w:type w:val="continuous"/>
          <w:pgSz w:w="11910" w:h="16840"/>
          <w:pgMar w:top="995" w:right="600" w:bottom="840" w:left="620" w:header="720" w:footer="720" w:gutter="0"/>
          <w:cols w:space="720"/>
        </w:sectPr>
      </w:pPr>
      <w:r w:rsidRPr="00DE70C8">
        <w:rPr>
          <w:b/>
          <w:sz w:val="20"/>
          <w:szCs w:val="20"/>
          <w:lang w:val="en-NZ"/>
        </w:rPr>
        <w:t>Email</w:t>
      </w:r>
      <w:r w:rsidR="00EA7D51" w:rsidRPr="00DE70C8">
        <w:rPr>
          <w:sz w:val="20"/>
          <w:szCs w:val="20"/>
          <w:lang w:val="en-NZ"/>
        </w:rPr>
        <w:t xml:space="preserve">: </w:t>
      </w:r>
      <w:r w:rsidR="00DE70C8" w:rsidRPr="00DE70C8">
        <w:rPr>
          <w:sz w:val="20"/>
          <w:szCs w:val="20"/>
          <w:lang w:val="en-NZ"/>
        </w:rPr>
        <w:t>kim.grotrap@5lahtneulbk</w:t>
      </w:r>
      <w:r w:rsidRPr="00DE70C8">
        <w:rPr>
          <w:sz w:val="20"/>
          <w:szCs w:val="20"/>
          <w:lang w:val="en-NZ"/>
        </w:rPr>
        <w:br/>
      </w:r>
      <w:r w:rsidRPr="00DE70C8">
        <w:rPr>
          <w:b/>
          <w:sz w:val="20"/>
          <w:szCs w:val="20"/>
          <w:lang w:val="en-NZ"/>
        </w:rPr>
        <w:t>Category</w:t>
      </w:r>
      <w:r w:rsidRPr="00DE70C8">
        <w:rPr>
          <w:sz w:val="20"/>
          <w:szCs w:val="20"/>
          <w:lang w:val="en-NZ"/>
        </w:rPr>
        <w:t>: Oral presentation</w:t>
      </w:r>
    </w:p>
    <w:p w:rsidR="00014DF4" w:rsidRDefault="00014DF4" w:rsidP="00014DF4">
      <w:pPr>
        <w:jc w:val="both"/>
        <w:rPr>
          <w:rFonts w:ascii="Minion Pro"/>
          <w:sz w:val="26"/>
        </w:rPr>
      </w:pPr>
      <w:bookmarkStart w:id="0" w:name="_GoBack"/>
      <w:bookmarkEnd w:id="0"/>
    </w:p>
    <w:sectPr w:rsidR="00014DF4"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2D1" w:rsidRDefault="008512D1">
      <w:r>
        <w:separator/>
      </w:r>
    </w:p>
  </w:endnote>
  <w:endnote w:type="continuationSeparator" w:id="0">
    <w:p w:rsidR="008512D1" w:rsidRDefault="00851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6F" w:rsidRPr="00DE70C8" w:rsidRDefault="00CC786F">
    <w:pPr>
      <w:pStyle w:val="Footer"/>
      <w:rPr>
        <w:rFonts w:ascii="Goudy Old Style" w:hAnsi="Goudy Old Style"/>
        <w:b/>
        <w:sz w:val="20"/>
      </w:rPr>
    </w:pPr>
    <w:r w:rsidRPr="00DE70C8">
      <w:rPr>
        <w:rFonts w:ascii="Goudy Old Style" w:hAnsi="Goudy Old Style"/>
        <w:b/>
        <w:color w:val="984806" w:themeColor="accent6" w:themeShade="80"/>
        <w:sz w:val="24"/>
      </w:rPr>
      <w:t>17th International Conference on Allergy and Clinical Immunology</w:t>
    </w:r>
  </w:p>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2D1" w:rsidRDefault="008512D1">
      <w:r>
        <w:separator/>
      </w:r>
    </w:p>
  </w:footnote>
  <w:footnote w:type="continuationSeparator" w:id="0">
    <w:p w:rsidR="008512D1" w:rsidRDefault="008512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6F" w:rsidRPr="00DE70C8" w:rsidRDefault="00CC786F" w:rsidP="00CC786F">
    <w:pPr>
      <w:pStyle w:val="Header"/>
      <w:rPr>
        <w:rFonts w:ascii="Goudy Old Style" w:hAnsi="Goudy Old Style"/>
        <w:b/>
        <w:color w:val="000000" w:themeColor="text1"/>
        <w:sz w:val="28"/>
      </w:rPr>
    </w:pPr>
    <w:r w:rsidRPr="00DE70C8">
      <w:rPr>
        <w:rFonts w:ascii="Goudy Old Style" w:hAnsi="Goudy Old Style"/>
        <w:b/>
        <w:color w:val="000000" w:themeColor="text1"/>
        <w:sz w:val="28"/>
      </w:rPr>
      <w:t>Journal of Clinical Immunology and Allergy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23B24B4"/>
    <w:multiLevelType w:val="hybridMultilevel"/>
    <w:tmpl w:val="A5C61A4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2CC7D85"/>
    <w:multiLevelType w:val="hybridMultilevel"/>
    <w:tmpl w:val="A5C61A4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DF4"/>
    <w:rsid w:val="000534A1"/>
    <w:rsid w:val="0006797A"/>
    <w:rsid w:val="000B4CAA"/>
    <w:rsid w:val="000E2911"/>
    <w:rsid w:val="001263DF"/>
    <w:rsid w:val="00292ED9"/>
    <w:rsid w:val="00351D9B"/>
    <w:rsid w:val="00380299"/>
    <w:rsid w:val="00404E5B"/>
    <w:rsid w:val="00412CEA"/>
    <w:rsid w:val="00414F7B"/>
    <w:rsid w:val="004355DC"/>
    <w:rsid w:val="004749B4"/>
    <w:rsid w:val="00475D20"/>
    <w:rsid w:val="00494130"/>
    <w:rsid w:val="004F3523"/>
    <w:rsid w:val="00590D60"/>
    <w:rsid w:val="005973B9"/>
    <w:rsid w:val="005B3A56"/>
    <w:rsid w:val="006060CE"/>
    <w:rsid w:val="0061505C"/>
    <w:rsid w:val="0063497F"/>
    <w:rsid w:val="006641C5"/>
    <w:rsid w:val="006A197B"/>
    <w:rsid w:val="006E51FD"/>
    <w:rsid w:val="00714354"/>
    <w:rsid w:val="008409F0"/>
    <w:rsid w:val="008512D1"/>
    <w:rsid w:val="00873DF0"/>
    <w:rsid w:val="008756E6"/>
    <w:rsid w:val="00897EC5"/>
    <w:rsid w:val="008A0763"/>
    <w:rsid w:val="008E5477"/>
    <w:rsid w:val="009B2D44"/>
    <w:rsid w:val="00A07E82"/>
    <w:rsid w:val="00A52075"/>
    <w:rsid w:val="00A9710C"/>
    <w:rsid w:val="00AC496F"/>
    <w:rsid w:val="00AE3E37"/>
    <w:rsid w:val="00B21A57"/>
    <w:rsid w:val="00BE6743"/>
    <w:rsid w:val="00C33602"/>
    <w:rsid w:val="00C56C74"/>
    <w:rsid w:val="00CC786F"/>
    <w:rsid w:val="00CD6F55"/>
    <w:rsid w:val="00D10A92"/>
    <w:rsid w:val="00DE3104"/>
    <w:rsid w:val="00DE6170"/>
    <w:rsid w:val="00DE6441"/>
    <w:rsid w:val="00DE70C8"/>
    <w:rsid w:val="00E30AAC"/>
    <w:rsid w:val="00E95D97"/>
    <w:rsid w:val="00EA7D51"/>
    <w:rsid w:val="00F046EA"/>
    <w:rsid w:val="00F312EA"/>
    <w:rsid w:val="00F35A62"/>
    <w:rsid w:val="00F72EEA"/>
    <w:rsid w:val="00F765E8"/>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3238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035671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2157614">
      <w:bodyDiv w:val="1"/>
      <w:marLeft w:val="0"/>
      <w:marRight w:val="0"/>
      <w:marTop w:val="0"/>
      <w:marBottom w:val="0"/>
      <w:divBdr>
        <w:top w:val="none" w:sz="0" w:space="0" w:color="auto"/>
        <w:left w:val="none" w:sz="0" w:space="0" w:color="auto"/>
        <w:bottom w:val="none" w:sz="0" w:space="0" w:color="auto"/>
        <w:right w:val="none" w:sz="0" w:space="0" w:color="auto"/>
      </w:divBdr>
    </w:div>
    <w:div w:id="1666199758">
      <w:bodyDiv w:val="1"/>
      <w:marLeft w:val="0"/>
      <w:marRight w:val="0"/>
      <w:marTop w:val="0"/>
      <w:marBottom w:val="0"/>
      <w:divBdr>
        <w:top w:val="none" w:sz="0" w:space="0" w:color="auto"/>
        <w:left w:val="none" w:sz="0" w:space="0" w:color="auto"/>
        <w:bottom w:val="none" w:sz="0" w:space="0" w:color="auto"/>
        <w:right w:val="none" w:sz="0" w:space="0" w:color="auto"/>
      </w:divBdr>
      <w:divsChild>
        <w:div w:id="1875651226">
          <w:marLeft w:val="0"/>
          <w:marRight w:val="0"/>
          <w:marTop w:val="166"/>
          <w:marBottom w:val="166"/>
          <w:divBdr>
            <w:top w:val="none" w:sz="0" w:space="0" w:color="auto"/>
            <w:left w:val="none" w:sz="0" w:space="0" w:color="auto"/>
            <w:bottom w:val="none" w:sz="0" w:space="0" w:color="auto"/>
            <w:right w:val="none" w:sz="0" w:space="0" w:color="auto"/>
          </w:divBdr>
        </w:div>
        <w:div w:id="2052606027">
          <w:marLeft w:val="0"/>
          <w:marRight w:val="0"/>
          <w:marTop w:val="166"/>
          <w:marBottom w:val="166"/>
          <w:divBdr>
            <w:top w:val="none" w:sz="0" w:space="0" w:color="auto"/>
            <w:left w:val="none" w:sz="0" w:space="0" w:color="auto"/>
            <w:bottom w:val="none" w:sz="0" w:space="0" w:color="auto"/>
            <w:right w:val="none" w:sz="0" w:space="0" w:color="auto"/>
          </w:divBdr>
        </w:div>
        <w:div w:id="236063638">
          <w:marLeft w:val="0"/>
          <w:marRight w:val="0"/>
          <w:marTop w:val="166"/>
          <w:marBottom w:val="166"/>
          <w:divBdr>
            <w:top w:val="none" w:sz="0" w:space="0" w:color="auto"/>
            <w:left w:val="none" w:sz="0" w:space="0" w:color="auto"/>
            <w:bottom w:val="none" w:sz="0" w:space="0" w:color="auto"/>
            <w:right w:val="none" w:sz="0" w:space="0" w:color="auto"/>
          </w:divBdr>
        </w:div>
        <w:div w:id="2140681177">
          <w:marLeft w:val="0"/>
          <w:marRight w:val="0"/>
          <w:marTop w:val="166"/>
          <w:marBottom w:val="166"/>
          <w:divBdr>
            <w:top w:val="none" w:sz="0" w:space="0" w:color="auto"/>
            <w:left w:val="none" w:sz="0" w:space="0" w:color="auto"/>
            <w:bottom w:val="none" w:sz="0" w:space="0" w:color="auto"/>
            <w:right w:val="none" w:sz="0" w:space="0" w:color="auto"/>
          </w:divBdr>
        </w:div>
        <w:div w:id="832573850">
          <w:marLeft w:val="0"/>
          <w:marRight w:val="0"/>
          <w:marTop w:val="166"/>
          <w:marBottom w:val="166"/>
          <w:divBdr>
            <w:top w:val="none" w:sz="0" w:space="0" w:color="auto"/>
            <w:left w:val="none" w:sz="0" w:space="0" w:color="auto"/>
            <w:bottom w:val="none" w:sz="0" w:space="0" w:color="auto"/>
            <w:right w:val="none" w:sz="0" w:space="0" w:color="auto"/>
          </w:divBdr>
        </w:div>
        <w:div w:id="1538272805">
          <w:marLeft w:val="0"/>
          <w:marRight w:val="0"/>
          <w:marTop w:val="166"/>
          <w:marBottom w:val="166"/>
          <w:divBdr>
            <w:top w:val="none" w:sz="0" w:space="0" w:color="auto"/>
            <w:left w:val="none" w:sz="0" w:space="0" w:color="auto"/>
            <w:bottom w:val="none" w:sz="0" w:space="0" w:color="auto"/>
            <w:right w:val="none" w:sz="0" w:space="0" w:color="auto"/>
          </w:divBdr>
        </w:div>
        <w:div w:id="1609504260">
          <w:marLeft w:val="0"/>
          <w:marRight w:val="0"/>
          <w:marTop w:val="166"/>
          <w:marBottom w:val="166"/>
          <w:divBdr>
            <w:top w:val="none" w:sz="0" w:space="0" w:color="auto"/>
            <w:left w:val="none" w:sz="0" w:space="0" w:color="auto"/>
            <w:bottom w:val="none" w:sz="0" w:space="0" w:color="auto"/>
            <w:right w:val="none" w:sz="0" w:space="0" w:color="auto"/>
          </w:divBdr>
        </w:div>
        <w:div w:id="686444228">
          <w:marLeft w:val="0"/>
          <w:marRight w:val="0"/>
          <w:marTop w:val="166"/>
          <w:marBottom w:val="166"/>
          <w:divBdr>
            <w:top w:val="none" w:sz="0" w:space="0" w:color="auto"/>
            <w:left w:val="none" w:sz="0" w:space="0" w:color="auto"/>
            <w:bottom w:val="none" w:sz="0" w:space="0" w:color="auto"/>
            <w:right w:val="none" w:sz="0" w:space="0" w:color="auto"/>
          </w:divBdr>
        </w:div>
        <w:div w:id="1333409951">
          <w:marLeft w:val="0"/>
          <w:marRight w:val="0"/>
          <w:marTop w:val="166"/>
          <w:marBottom w:val="166"/>
          <w:divBdr>
            <w:top w:val="none" w:sz="0" w:space="0" w:color="auto"/>
            <w:left w:val="none" w:sz="0" w:space="0" w:color="auto"/>
            <w:bottom w:val="none" w:sz="0" w:space="0" w:color="auto"/>
            <w:right w:val="none" w:sz="0" w:space="0" w:color="auto"/>
          </w:divBdr>
        </w:div>
        <w:div w:id="895236225">
          <w:marLeft w:val="0"/>
          <w:marRight w:val="0"/>
          <w:marTop w:val="166"/>
          <w:marBottom w:val="166"/>
          <w:divBdr>
            <w:top w:val="none" w:sz="0" w:space="0" w:color="auto"/>
            <w:left w:val="none" w:sz="0" w:space="0" w:color="auto"/>
            <w:bottom w:val="none" w:sz="0" w:space="0" w:color="auto"/>
            <w:right w:val="none" w:sz="0" w:space="0" w:color="auto"/>
          </w:divBdr>
        </w:div>
        <w:div w:id="1369724213">
          <w:marLeft w:val="0"/>
          <w:marRight w:val="0"/>
          <w:marTop w:val="166"/>
          <w:marBottom w:val="166"/>
          <w:divBdr>
            <w:top w:val="none" w:sz="0" w:space="0" w:color="auto"/>
            <w:left w:val="none" w:sz="0" w:space="0" w:color="auto"/>
            <w:bottom w:val="none" w:sz="0" w:space="0" w:color="auto"/>
            <w:right w:val="none" w:sz="0" w:space="0" w:color="auto"/>
          </w:divBdr>
        </w:div>
        <w:div w:id="1701273306">
          <w:marLeft w:val="0"/>
          <w:marRight w:val="0"/>
          <w:marTop w:val="166"/>
          <w:marBottom w:val="166"/>
          <w:divBdr>
            <w:top w:val="none" w:sz="0" w:space="0" w:color="auto"/>
            <w:left w:val="none" w:sz="0" w:space="0" w:color="auto"/>
            <w:bottom w:val="none" w:sz="0" w:space="0" w:color="auto"/>
            <w:right w:val="none" w:sz="0" w:space="0" w:color="auto"/>
          </w:divBdr>
        </w:div>
        <w:div w:id="1789933116">
          <w:marLeft w:val="0"/>
          <w:marRight w:val="0"/>
          <w:marTop w:val="166"/>
          <w:marBottom w:val="166"/>
          <w:divBdr>
            <w:top w:val="none" w:sz="0" w:space="0" w:color="auto"/>
            <w:left w:val="none" w:sz="0" w:space="0" w:color="auto"/>
            <w:bottom w:val="none" w:sz="0" w:space="0" w:color="auto"/>
            <w:right w:val="none" w:sz="0" w:space="0" w:color="auto"/>
          </w:divBdr>
        </w:div>
        <w:div w:id="733167130">
          <w:marLeft w:val="0"/>
          <w:marRight w:val="0"/>
          <w:marTop w:val="166"/>
          <w:marBottom w:val="166"/>
          <w:divBdr>
            <w:top w:val="none" w:sz="0" w:space="0" w:color="auto"/>
            <w:left w:val="none" w:sz="0" w:space="0" w:color="auto"/>
            <w:bottom w:val="none" w:sz="0" w:space="0" w:color="auto"/>
            <w:right w:val="none" w:sz="0" w:space="0" w:color="auto"/>
          </w:divBdr>
        </w:div>
        <w:div w:id="204176262">
          <w:marLeft w:val="0"/>
          <w:marRight w:val="0"/>
          <w:marTop w:val="166"/>
          <w:marBottom w:val="166"/>
          <w:divBdr>
            <w:top w:val="none" w:sz="0" w:space="0" w:color="auto"/>
            <w:left w:val="none" w:sz="0" w:space="0" w:color="auto"/>
            <w:bottom w:val="none" w:sz="0" w:space="0" w:color="auto"/>
            <w:right w:val="none" w:sz="0" w:space="0" w:color="auto"/>
          </w:divBdr>
        </w:div>
      </w:divsChild>
    </w:div>
    <w:div w:id="1683900030">
      <w:bodyDiv w:val="1"/>
      <w:marLeft w:val="0"/>
      <w:marRight w:val="0"/>
      <w:marTop w:val="0"/>
      <w:marBottom w:val="0"/>
      <w:divBdr>
        <w:top w:val="none" w:sz="0" w:space="0" w:color="auto"/>
        <w:left w:val="none" w:sz="0" w:space="0" w:color="auto"/>
        <w:bottom w:val="none" w:sz="0" w:space="0" w:color="auto"/>
        <w:right w:val="none" w:sz="0" w:space="0" w:color="auto"/>
      </w:divBdr>
    </w:div>
    <w:div w:id="1843619642">
      <w:bodyDiv w:val="1"/>
      <w:marLeft w:val="0"/>
      <w:marRight w:val="0"/>
      <w:marTop w:val="0"/>
      <w:marBottom w:val="0"/>
      <w:divBdr>
        <w:top w:val="none" w:sz="0" w:space="0" w:color="auto"/>
        <w:left w:val="none" w:sz="0" w:space="0" w:color="auto"/>
        <w:bottom w:val="none" w:sz="0" w:space="0" w:color="auto"/>
        <w:right w:val="none" w:sz="0" w:space="0" w:color="auto"/>
      </w:divBdr>
    </w:div>
    <w:div w:id="19801114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kim.grotrap@5lahtneulb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1634</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2022-01-25T14:58:00Z</dcterms:created>
  <dcterms:modified xsi:type="dcterms:W3CDTF">2022-01-27T06:30:00Z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