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E0F" w:rsidRDefault="00AE7E0F" w:rsidP="00AE7E0F">
      <w:pPr>
        <w:jc w:val="both"/>
        <w:rPr>
          <w:rFonts w:ascii="Times New Roman" w:hAnsi="Times New Roman" w:cs="Times New Rom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bookmarkStart w:id="0" w:name="_GoBack"/>
      <w:bookmarkEnd w:id="0"/>
    </w:p>
    <w:p w:rsidR="0092303B" w:rsidRPr="00A43807" w:rsidRDefault="0092303B" w:rsidP="00AE7E0F">
      <w:pPr>
        <w:jc w:val="both"/>
        <w:rPr>
          <w:rFonts w:ascii="Times New Roman" w:hAnsi="Times New Roman" w:cs="Times New Roman"/>
          <w:b/>
          <w:sz w:val="32"/>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43807">
        <w:rPr>
          <w:rFonts w:ascii="Times New Roman" w:hAnsi="Times New Roman" w:cs="Times New Roman"/>
          <w:b/>
          <w:sz w:val="32"/>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Effects of variations in access to care for children with atopic dermatitis</w:t>
      </w:r>
    </w:p>
    <w:p w:rsidR="005816C2" w:rsidRDefault="005816C2" w:rsidP="005312A4">
      <w:pPr>
        <w:pStyle w:val="BodyText"/>
        <w:spacing w:before="73" w:line="198" w:lineRule="exact"/>
        <w:ind w:left="100" w:right="5987"/>
        <w:rPr>
          <w:rFonts w:ascii="Times New Roman" w:hAnsi="Times New Roman" w:cs="Times New Roman"/>
          <w:sz w:val="20"/>
        </w:rPr>
      </w:pPr>
      <w:r w:rsidRPr="005312A4">
        <w:rPr>
          <w:rFonts w:ascii="Times New Roman" w:hAnsi="Times New Roman" w:cs="Times New Roman"/>
          <w:sz w:val="20"/>
        </w:rPr>
        <w:t>Paola Mina-Osorio, Regeneron Pharmaceuticals, USA</w:t>
      </w:r>
    </w:p>
    <w:p w:rsidR="005312A4" w:rsidRPr="005312A4" w:rsidRDefault="005312A4" w:rsidP="005312A4">
      <w:pPr>
        <w:pStyle w:val="BodyText"/>
        <w:spacing w:before="73" w:line="198" w:lineRule="exact"/>
        <w:ind w:left="100" w:right="5987"/>
        <w:rPr>
          <w:rFonts w:ascii="Times New Roman" w:hAnsi="Times New Roman" w:cs="Times New Roman"/>
          <w:sz w:val="20"/>
        </w:rPr>
      </w:pPr>
    </w:p>
    <w:p w:rsidR="005816C2" w:rsidRDefault="005816C2" w:rsidP="003067DC">
      <w:pPr>
        <w:rPr>
          <w:rFonts w:ascii="Times New Roman" w:hAnsi="Times New Roman" w:cs="Times New Roman"/>
          <w:b/>
          <w:sz w:val="36"/>
        </w:rPr>
      </w:pPr>
      <w:r w:rsidRPr="005816C2">
        <w:rPr>
          <w:rFonts w:ascii="Times New Roman" w:hAnsi="Times New Roman" w:cs="Times New Roman"/>
          <w:b/>
          <w:sz w:val="36"/>
        </w:rPr>
        <w:t>Abstract</w:t>
      </w:r>
      <w:r>
        <w:rPr>
          <w:rFonts w:ascii="Times New Roman" w:hAnsi="Times New Roman" w:cs="Times New Roman"/>
          <w:b/>
          <w:sz w:val="36"/>
        </w:rPr>
        <w:t>:</w:t>
      </w:r>
    </w:p>
    <w:p w:rsidR="00477977" w:rsidRPr="00477977" w:rsidRDefault="00477977" w:rsidP="002E3531">
      <w:pPr>
        <w:jc w:val="both"/>
        <w:rPr>
          <w:rFonts w:ascii="Times New Roman" w:hAnsi="Times New Roman" w:cs="Times New Roman"/>
          <w:sz w:val="24"/>
        </w:rPr>
      </w:pPr>
      <w:r w:rsidRPr="00477977">
        <w:rPr>
          <w:rFonts w:ascii="Times New Roman" w:hAnsi="Times New Roman" w:cs="Times New Roman"/>
          <w:sz w:val="24"/>
        </w:rPr>
        <w:t xml:space="preserve">A minority of kids were evaluated by a medicine or allergy/immunology specialist. </w:t>
      </w:r>
      <w:r w:rsidR="00EE0CE8" w:rsidRPr="00477977">
        <w:rPr>
          <w:rFonts w:ascii="Times New Roman" w:hAnsi="Times New Roman" w:cs="Times New Roman"/>
          <w:sz w:val="24"/>
        </w:rPr>
        <w:t>Many</w:t>
      </w:r>
      <w:r w:rsidRPr="00477977">
        <w:rPr>
          <w:rFonts w:ascii="Times New Roman" w:hAnsi="Times New Roman" w:cs="Times New Roman"/>
          <w:sz w:val="24"/>
        </w:rPr>
        <w:t xml:space="preserve"> vital variations were ascertained between commercially and Medicaid-insured youngsters with AD. Disparities detected for Medicaid-insured youngsters included: relatively fewer received specialist care, emergency department and pressing care center utilization were higher, a bigger proportion had respiratory disorder and non-atopic morbidities, high-potency topical corticosteroids, and calcineurin inhibitors were less usually prescribed, and prescriptions for antihistamines were quite thrice higher, despite similar rates of comorbid respiratory disorder and allergies among medicine users. Treatment patterns conjointly varied considerably across doc specialties.</w:t>
      </w:r>
      <w:r w:rsidR="005312A4">
        <w:rPr>
          <w:rFonts w:ascii="Times New Roman" w:hAnsi="Times New Roman" w:cs="Times New Roman"/>
          <w:sz w:val="24"/>
        </w:rPr>
        <w:t xml:space="preserve"> </w:t>
      </w:r>
      <w:r w:rsidRPr="00477977">
        <w:rPr>
          <w:rFonts w:ascii="Times New Roman" w:hAnsi="Times New Roman" w:cs="Times New Roman"/>
          <w:sz w:val="24"/>
        </w:rPr>
        <w:t>This study provides a novel portrait of patterns of take care of AD derived from databases together with massive samples of Medicaid- and commercially insured kids. Moreover, analyses of treatments and HCRU stratified by supplier kind offer further insights into the character of potential aid disparities</w:t>
      </w:r>
      <w:r w:rsidR="005312A4" w:rsidRPr="00477977">
        <w:rPr>
          <w:rFonts w:ascii="Times New Roman" w:hAnsi="Times New Roman" w:cs="Times New Roman"/>
          <w:sz w:val="24"/>
        </w:rPr>
        <w:t>.</w:t>
      </w:r>
      <w:r w:rsidR="005312A4">
        <w:rPr>
          <w:rFonts w:ascii="Times New Roman" w:hAnsi="Times New Roman" w:cs="Times New Roman"/>
          <w:sz w:val="24"/>
        </w:rPr>
        <w:t xml:space="preserve"> (600 word limit)</w:t>
      </w:r>
    </w:p>
    <w:p w:rsidR="00477977" w:rsidRDefault="00477977" w:rsidP="002E3531">
      <w:pPr>
        <w:jc w:val="both"/>
        <w:rPr>
          <w:rFonts w:ascii="Times New Roman" w:hAnsi="Times New Roman" w:cs="Times New Roman"/>
          <w:b/>
          <w:sz w:val="36"/>
        </w:rPr>
      </w:pPr>
      <w:r>
        <w:rPr>
          <w:rFonts w:ascii="Times New Roman" w:hAnsi="Times New Roman" w:cs="Times New Roman"/>
          <w:b/>
          <w:sz w:val="36"/>
        </w:rPr>
        <w:t>Important of Research:</w:t>
      </w:r>
    </w:p>
    <w:p w:rsidR="005312A4" w:rsidRDefault="00DD2451" w:rsidP="00DD2451">
      <w:pPr>
        <w:jc w:val="both"/>
        <w:rPr>
          <w:rFonts w:ascii="Times New Roman" w:hAnsi="Times New Roman" w:cs="Times New Roman"/>
          <w:sz w:val="24"/>
        </w:rPr>
      </w:pPr>
      <w:r w:rsidRPr="00DD2451">
        <w:rPr>
          <w:rFonts w:ascii="Times New Roman" w:hAnsi="Times New Roman" w:cs="Times New Roman"/>
          <w:sz w:val="24"/>
        </w:rPr>
        <w:t xml:space="preserve">Results from this claim information analysis examination 2 massive medicine AD cohorts, Medicaid- and commercially insured kids, indicate that Associate in Nursing overall minority of patients were seen by a specialist. Non-specialist suppliers saw a significantly larger proportion of health care patients, compared with specialists, with dermatologists seeing the terribly smallest proportion. Consequently, it had been not stunning that health care patients had the next reliance on dysfunction and imperative care centers, particularly for AD-related care, with a rate of dysfunction visits over doubly as high for health care compared with business patients, light the importance of barriers to accessing patient and specialist care. Finally, antihistamines were prescribed over thrice a lot of usually to health care patients. There’s presently no well-established standard-of-care or pediatric-specific guideline accepted by clinicians for AD, and </w:t>
      </w:r>
    </w:p>
    <w:p w:rsidR="005312A4" w:rsidRDefault="005312A4" w:rsidP="00DD2451">
      <w:pPr>
        <w:jc w:val="both"/>
        <w:rPr>
          <w:rFonts w:ascii="Times New Roman" w:hAnsi="Times New Roman" w:cs="Times New Roman"/>
          <w:sz w:val="24"/>
        </w:rPr>
      </w:pPr>
    </w:p>
    <w:p w:rsidR="005312A4" w:rsidRDefault="005312A4" w:rsidP="00DD2451">
      <w:pPr>
        <w:jc w:val="both"/>
        <w:rPr>
          <w:rFonts w:ascii="Times New Roman" w:hAnsi="Times New Roman" w:cs="Times New Roman"/>
          <w:sz w:val="24"/>
        </w:rPr>
      </w:pPr>
    </w:p>
    <w:p w:rsidR="00DD2451" w:rsidRDefault="005312A4" w:rsidP="00DD2451">
      <w:pPr>
        <w:jc w:val="both"/>
        <w:rPr>
          <w:rFonts w:ascii="Times New Roman" w:hAnsi="Times New Roman" w:cs="Times New Roman"/>
          <w:sz w:val="24"/>
        </w:rPr>
      </w:pPr>
      <w:r w:rsidRPr="00DD2451">
        <w:rPr>
          <w:rFonts w:ascii="Times New Roman" w:hAnsi="Times New Roman" w:cs="Times New Roman"/>
          <w:sz w:val="24"/>
        </w:rPr>
        <w:lastRenderedPageBreak/>
        <w:t>Treatment</w:t>
      </w:r>
      <w:r w:rsidR="00DD2451" w:rsidRPr="00DD2451">
        <w:rPr>
          <w:rFonts w:ascii="Times New Roman" w:hAnsi="Times New Roman" w:cs="Times New Roman"/>
          <w:sz w:val="24"/>
        </w:rPr>
        <w:t xml:space="preserve"> approaches vary greatly across doctor specialties. These variations are amplified by disparities in access to specialty care, aggravating the unmet treatment wants for kids with AD. A lot of consistent and joint approach is required to treat this chronic condition. semipermanent sickness management has the potential to alleviate the direct burden of AD and impede the danger of developing atopic and non-atopic comorbidities and, in turn, could facilitate cut back the employment of tending resources during this patient population.</w:t>
      </w:r>
    </w:p>
    <w:p w:rsidR="00EE0CE8" w:rsidRPr="006C133F" w:rsidRDefault="00EE0CE8" w:rsidP="003067DC">
      <w:pPr>
        <w:rPr>
          <w:rFonts w:ascii="Times New Roman" w:hAnsi="Times New Roman" w:cs="Times New Roman"/>
          <w:b/>
          <w:sz w:val="36"/>
        </w:rPr>
      </w:pPr>
      <w:r w:rsidRPr="00EE0CE8">
        <w:rPr>
          <w:rFonts w:ascii="Times New Roman" w:hAnsi="Times New Roman" w:cs="Times New Roman"/>
          <w:b/>
          <w:sz w:val="36"/>
        </w:rPr>
        <w:t>Biography:</w:t>
      </w:r>
    </w:p>
    <w:p w:rsidR="00FD3D4C" w:rsidRDefault="00FD3D4C" w:rsidP="003067DC">
      <w:pPr>
        <w:rPr>
          <w:rFonts w:ascii="Times New Roman" w:hAnsi="Times New Roman" w:cs="Times New Roman"/>
          <w:sz w:val="24"/>
        </w:rPr>
      </w:pPr>
      <w:r>
        <w:rPr>
          <w:noProof/>
        </w:rPr>
        <w:drawing>
          <wp:inline distT="0" distB="0" distL="0" distR="0" wp14:anchorId="41A03496" wp14:editId="3A0E33E9">
            <wp:extent cx="2743200" cy="1809750"/>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6482" cy="1831707"/>
                    </a:xfrm>
                    <a:prstGeom prst="rect">
                      <a:avLst/>
                    </a:prstGeom>
                    <a:noFill/>
                    <a:ln>
                      <a:noFill/>
                    </a:ln>
                  </pic:spPr>
                </pic:pic>
              </a:graphicData>
            </a:graphic>
          </wp:inline>
        </w:drawing>
      </w:r>
    </w:p>
    <w:p w:rsidR="003067DC" w:rsidRPr="003067DC" w:rsidRDefault="003067DC" w:rsidP="003067DC">
      <w:r>
        <w:rPr>
          <w:rFonts w:ascii="Times New Roman" w:hAnsi="Times New Roman" w:cs="Times New Roman"/>
          <w:sz w:val="24"/>
        </w:rPr>
        <w:t>Name:</w:t>
      </w:r>
      <w:r w:rsidRPr="003067DC">
        <w:rPr>
          <w:rFonts w:ascii="Times New Roman" w:hAnsi="Times New Roman" w:cs="Times New Roman"/>
          <w:sz w:val="24"/>
        </w:rPr>
        <w:t xml:space="preserve"> </w:t>
      </w:r>
      <w:r w:rsidRPr="006C133F">
        <w:rPr>
          <w:rFonts w:ascii="Times New Roman" w:hAnsi="Times New Roman" w:cs="Times New Roman"/>
          <w:sz w:val="24"/>
        </w:rPr>
        <w:t>Paola Mina-Osorio</w:t>
      </w:r>
      <w:r>
        <w:br/>
      </w:r>
      <w:r w:rsidR="00FD3D4C">
        <w:rPr>
          <w:rFonts w:ascii="Times New Roman" w:hAnsi="Times New Roman" w:cs="Times New Roman"/>
          <w:sz w:val="24"/>
        </w:rPr>
        <w:t xml:space="preserve">Email: </w:t>
      </w:r>
      <w:hyperlink r:id="rId10" w:history="1">
        <w:r w:rsidRPr="00186C0B">
          <w:rPr>
            <w:rStyle w:val="Hyperlink"/>
            <w:rFonts w:ascii="Times New Roman" w:hAnsi="Times New Roman" w:cs="Times New Roman"/>
            <w:sz w:val="24"/>
          </w:rPr>
          <w:t>pmo76@yahoo.com</w:t>
        </w:r>
      </w:hyperlink>
    </w:p>
    <w:p w:rsidR="005312A4" w:rsidRPr="005312A4" w:rsidRDefault="00DD2451" w:rsidP="005312A4">
      <w:pPr>
        <w:jc w:val="both"/>
        <w:rPr>
          <w:rFonts w:ascii="Times New Roman" w:hAnsi="Times New Roman" w:cs="Times New Roman"/>
          <w:sz w:val="24"/>
        </w:rPr>
      </w:pPr>
      <w:r w:rsidRPr="00DD2451">
        <w:rPr>
          <w:rFonts w:ascii="Times New Roman" w:hAnsi="Times New Roman" w:cs="Times New Roman"/>
          <w:sz w:val="24"/>
        </w:rPr>
        <w:t xml:space="preserve">Paola Mina-Osorio, Health social science and Outcomes analysis, Medical Affairs, Regeneron prescription drugs, Inc., 777 previous Saw Mill watercourse Road, Tarrytown, NY, 10591, USA. She has her experience in analysis and keenness for up health and eudaimonia. </w:t>
      </w:r>
      <w:r w:rsidR="005312A4" w:rsidRPr="00DD2451">
        <w:rPr>
          <w:rFonts w:ascii="Times New Roman" w:hAnsi="Times New Roman" w:cs="Times New Roman"/>
          <w:sz w:val="24"/>
        </w:rPr>
        <w:t>The</w:t>
      </w:r>
      <w:r w:rsidRPr="00DD2451">
        <w:rPr>
          <w:rFonts w:ascii="Times New Roman" w:hAnsi="Times New Roman" w:cs="Times New Roman"/>
          <w:sz w:val="24"/>
        </w:rPr>
        <w:t xml:space="preserve"> inspiration is predicated on fourth-generation analysis that could be a methodology that utilizes the previous generations of evaluation: measure, description, and judgment. It permits for worth philosophical system. This approach is attentive to all stakeholders and encompasses a completely different manner of focusing. MD, Ph.D. </w:t>
      </w:r>
      <w:r w:rsidR="005312A4" w:rsidRPr="00DD2451">
        <w:rPr>
          <w:rFonts w:ascii="Times New Roman" w:hAnsi="Times New Roman" w:cs="Times New Roman"/>
          <w:sz w:val="24"/>
        </w:rPr>
        <w:t>within</w:t>
      </w:r>
      <w:r w:rsidRPr="00DD2451">
        <w:rPr>
          <w:rFonts w:ascii="Times New Roman" w:hAnsi="Times New Roman" w:cs="Times New Roman"/>
          <w:sz w:val="24"/>
        </w:rPr>
        <w:t xml:space="preserve"> depth expertise in medicine analysis in tutorial and business settings. She has served in varied capacities throughout my business tenure together with presymptomatic, field </w:t>
      </w:r>
      <w:r w:rsidR="005312A4" w:rsidRPr="00DD2451">
        <w:rPr>
          <w:rFonts w:ascii="Times New Roman" w:hAnsi="Times New Roman" w:cs="Times New Roman"/>
          <w:sz w:val="24"/>
        </w:rPr>
        <w:t>medical</w:t>
      </w:r>
      <w:r w:rsidRPr="00DD2451">
        <w:rPr>
          <w:rFonts w:ascii="Times New Roman" w:hAnsi="Times New Roman" w:cs="Times New Roman"/>
          <w:sz w:val="24"/>
        </w:rPr>
        <w:t xml:space="preserve"> and medical affairs in unwellness states like atopic eczema, lupus, lupus renal disorder, rheumatism, rheumatism, and disease of the skin. She could be a results-oriented skilled targeted on clarity of goal setting, continuous method improvement to extend potency, </w:t>
      </w:r>
      <w:r w:rsidR="00486BB5">
        <w:rPr>
          <w:rFonts w:ascii="Times New Roman" w:hAnsi="Times New Roman" w:cs="Times New Roman"/>
          <w:sz w:val="24"/>
        </w:rPr>
        <w:t>a</w:t>
      </w:r>
      <w:r w:rsidR="005312A4" w:rsidRPr="00DD2451">
        <w:rPr>
          <w:rFonts w:ascii="Times New Roman" w:hAnsi="Times New Roman" w:cs="Times New Roman"/>
          <w:sz w:val="24"/>
        </w:rPr>
        <w:t>nd</w:t>
      </w:r>
      <w:r w:rsidRPr="00DD2451">
        <w:rPr>
          <w:rFonts w:ascii="Times New Roman" w:hAnsi="Times New Roman" w:cs="Times New Roman"/>
          <w:sz w:val="24"/>
        </w:rPr>
        <w:t xml:space="preserve"> adding worth through higher execution with high standards. She is additionally </w:t>
      </w:r>
      <w:r w:rsidR="005312A4" w:rsidRPr="00DD2451">
        <w:rPr>
          <w:rFonts w:ascii="Times New Roman" w:hAnsi="Times New Roman" w:cs="Times New Roman"/>
          <w:sz w:val="24"/>
        </w:rPr>
        <w:t>an</w:t>
      </w:r>
      <w:r w:rsidRPr="00DD2451">
        <w:rPr>
          <w:rFonts w:ascii="Times New Roman" w:hAnsi="Times New Roman" w:cs="Times New Roman"/>
          <w:sz w:val="24"/>
        </w:rPr>
        <w:t xml:space="preserve"> </w:t>
      </w:r>
      <w:r w:rsidR="005312A4" w:rsidRPr="00DD2451">
        <w:rPr>
          <w:rFonts w:ascii="Times New Roman" w:hAnsi="Times New Roman" w:cs="Times New Roman"/>
          <w:sz w:val="24"/>
        </w:rPr>
        <w:t>up</w:t>
      </w:r>
      <w:r w:rsidRPr="00DD2451">
        <w:rPr>
          <w:rFonts w:ascii="Times New Roman" w:hAnsi="Times New Roman" w:cs="Times New Roman"/>
          <w:sz w:val="24"/>
        </w:rPr>
        <w:t>, Medical Affairs at Immunovant // Author, Hispanics in medication and science book series</w:t>
      </w:r>
      <w:r w:rsidR="00486BB5" w:rsidRPr="00DD2451">
        <w:rPr>
          <w:rFonts w:ascii="Times New Roman" w:hAnsi="Times New Roman" w:cs="Times New Roman"/>
          <w:sz w:val="24"/>
        </w:rPr>
        <w:t>.</w:t>
      </w:r>
      <w:r w:rsidR="00486BB5">
        <w:rPr>
          <w:rFonts w:ascii="Times New Roman" w:hAnsi="Times New Roman" w:cs="Times New Roman"/>
          <w:sz w:val="24"/>
        </w:rPr>
        <w:t xml:space="preserve"> (200 word limit)</w:t>
      </w:r>
    </w:p>
    <w:p w:rsidR="006C133F" w:rsidRDefault="006C133F" w:rsidP="003067DC">
      <w:pPr>
        <w:rPr>
          <w:rFonts w:ascii="Times New Roman" w:hAnsi="Times New Roman" w:cs="Times New Roman"/>
          <w:b/>
          <w:sz w:val="36"/>
        </w:rPr>
      </w:pPr>
      <w:r w:rsidRPr="002A7DEB">
        <w:rPr>
          <w:rFonts w:ascii="Times New Roman" w:hAnsi="Times New Roman" w:cs="Times New Roman"/>
          <w:b/>
          <w:sz w:val="36"/>
        </w:rPr>
        <w:t>Information of Institute and Laboratory:</w:t>
      </w:r>
    </w:p>
    <w:p w:rsidR="003067DC" w:rsidRDefault="003067DC" w:rsidP="003067DC">
      <w:pPr>
        <w:rPr>
          <w:rFonts w:ascii="Times New Roman" w:hAnsi="Times New Roman" w:cs="Times New Roman"/>
          <w:b/>
          <w:sz w:val="36"/>
        </w:rPr>
      </w:pPr>
      <w:r w:rsidRPr="003067DC">
        <w:rPr>
          <w:rFonts w:ascii="Times New Roman" w:hAnsi="Times New Roman" w:cs="Times New Roman"/>
          <w:b/>
          <w:noProof/>
          <w:sz w:val="36"/>
        </w:rPr>
        <w:lastRenderedPageBreak/>
        <w:drawing>
          <wp:inline distT="0" distB="0" distL="0" distR="0" wp14:anchorId="4DEA4E2E" wp14:editId="30C62110">
            <wp:extent cx="3829050" cy="1724025"/>
            <wp:effectExtent l="0" t="0" r="0" b="9525"/>
            <wp:docPr id="2" name="Picture 2" descr="21 Days That Changed Westch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1 Days That Changed Westchest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29050" cy="1724025"/>
                    </a:xfrm>
                    <a:prstGeom prst="rect">
                      <a:avLst/>
                    </a:prstGeom>
                    <a:noFill/>
                    <a:ln>
                      <a:noFill/>
                    </a:ln>
                  </pic:spPr>
                </pic:pic>
              </a:graphicData>
            </a:graphic>
          </wp:inline>
        </w:drawing>
      </w:r>
    </w:p>
    <w:p w:rsidR="00EC4876" w:rsidRPr="003067DC" w:rsidRDefault="00EC4876" w:rsidP="002E3531">
      <w:pPr>
        <w:jc w:val="both"/>
        <w:rPr>
          <w:rFonts w:ascii="Times New Roman" w:hAnsi="Times New Roman" w:cs="Times New Roman"/>
          <w:b/>
          <w:sz w:val="36"/>
        </w:rPr>
      </w:pPr>
      <w:r w:rsidRPr="00BE29A9">
        <w:rPr>
          <w:rFonts w:ascii="Times New Roman" w:hAnsi="Times New Roman" w:cs="Times New Roman"/>
        </w:rPr>
        <w:t>For over 30 years, our mission has been to use the power of science to bring new medicines to patients over and over again.</w:t>
      </w:r>
    </w:p>
    <w:p w:rsidR="00EC4876" w:rsidRPr="00BE29A9" w:rsidRDefault="00EC4876" w:rsidP="002E3531">
      <w:pPr>
        <w:jc w:val="both"/>
        <w:rPr>
          <w:rFonts w:ascii="Times New Roman" w:hAnsi="Times New Roman" w:cs="Times New Roman"/>
        </w:rPr>
      </w:pPr>
      <w:r w:rsidRPr="00BE29A9">
        <w:rPr>
          <w:rFonts w:ascii="Times New Roman" w:hAnsi="Times New Roman" w:cs="Times New Roman"/>
        </w:rPr>
        <w:t>Regeneron  (NASDAQ: REGN) is a leading biotechnology company that invents life-transforming medicines for people with serious diseases. Founded and led for over 30 years by physician-scientists, our unique ability to repeatedly and consistently translate science into medicine has led to nine FDA-approved treatments and numerous product candidates in development, nearly all of which were homegrown in our laboratories. Our medicines and pipeline are designed to help patients with eye diseases, allergic and inflammatory diseases, cancer, cardiovascular and metabolic diseases, pain, hematologic diseases, infectious diseases and rare diseases.</w:t>
      </w:r>
    </w:p>
    <w:p w:rsidR="00EC4876" w:rsidRPr="00BE29A9" w:rsidRDefault="00EC4876" w:rsidP="002E3531">
      <w:pPr>
        <w:jc w:val="both"/>
        <w:rPr>
          <w:rFonts w:ascii="Times New Roman" w:hAnsi="Times New Roman" w:cs="Times New Roman"/>
        </w:rPr>
      </w:pPr>
      <w:r w:rsidRPr="00BE29A9">
        <w:rPr>
          <w:rFonts w:ascii="Times New Roman" w:hAnsi="Times New Roman" w:cs="Times New Roman"/>
        </w:rPr>
        <w:t>Regeneron is accelerating and improving the traditional drug development process through our proprietary VelociSuite technologies.</w:t>
      </w:r>
    </w:p>
    <w:p w:rsidR="00EC4876" w:rsidRPr="00BE29A9" w:rsidRDefault="00EC4876" w:rsidP="002E3531">
      <w:pPr>
        <w:jc w:val="both"/>
        <w:rPr>
          <w:rFonts w:ascii="Times New Roman" w:hAnsi="Times New Roman" w:cs="Times New Roman"/>
        </w:rPr>
      </w:pPr>
      <w:r w:rsidRPr="00BE29A9">
        <w:rPr>
          <w:rFonts w:ascii="Times New Roman" w:hAnsi="Times New Roman" w:cs="Times New Roman"/>
        </w:rPr>
        <w:t>We are the only biopharma company founded and led by physician-scientists since the beginning, more than three decades ago. From our first days, science was and remains our central guiding principle. Our leadership includes multiple Nobel Laureates and five members of the National Academy of Sciences, and we are one of the first companies to form a Science and Technology Committee as an integral component of its Board, a practice which has since become industry standard.</w:t>
      </w:r>
    </w:p>
    <w:p w:rsidR="00EC4876" w:rsidRDefault="00EC4876" w:rsidP="002E3531">
      <w:pPr>
        <w:jc w:val="both"/>
        <w:rPr>
          <w:rFonts w:ascii="Times New Roman" w:hAnsi="Times New Roman" w:cs="Times New Roman"/>
          <w:b/>
          <w:sz w:val="36"/>
        </w:rPr>
      </w:pPr>
      <w:r>
        <w:rPr>
          <w:rFonts w:ascii="Times New Roman" w:hAnsi="Times New Roman" w:cs="Times New Roman"/>
          <w:b/>
          <w:sz w:val="36"/>
        </w:rPr>
        <w:t>References:</w:t>
      </w:r>
    </w:p>
    <w:p w:rsidR="005312A4" w:rsidRDefault="00FD3D4C" w:rsidP="00486BB5">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 Tschandl P, Rosendahl C, Kittler H, et al. Dermatoscopy of flat pigmented facial lesions. </w:t>
      </w:r>
      <w:r w:rsidRPr="00FD3D4C">
        <w:rPr>
          <w:rFonts w:ascii="Times New Roman" w:eastAsia="Times New Roman" w:hAnsi="Times New Roman" w:cs="Times New Roman"/>
          <w:i/>
          <w:iCs/>
          <w:color w:val="000000"/>
          <w:sz w:val="24"/>
          <w:szCs w:val="24"/>
        </w:rPr>
        <w:t>J Eur Acad Dermatol Venereol. </w:t>
      </w:r>
      <w:r w:rsidRPr="00FD3D4C">
        <w:rPr>
          <w:rFonts w:ascii="Times New Roman" w:eastAsia="Times New Roman" w:hAnsi="Times New Roman" w:cs="Times New Roman"/>
          <w:color w:val="000000"/>
          <w:sz w:val="24"/>
          <w:szCs w:val="24"/>
        </w:rPr>
        <w:t>2015;29:120–127. doi: 10.1111/jdv.12483. </w:t>
      </w:r>
      <w:r w:rsidR="005312A4">
        <w:rPr>
          <w:rFonts w:ascii="Times New Roman" w:eastAsia="Times New Roman" w:hAnsi="Times New Roman" w:cs="Times New Roman"/>
          <w:color w:val="000000"/>
          <w:sz w:val="24"/>
          <w:szCs w:val="24"/>
        </w:rPr>
        <w:br/>
      </w:r>
    </w:p>
    <w:p w:rsidR="008E34E9"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2. Pellacani G, Longo C, Malvehy J, et al. In vivo confocal microscopic and histopathologic correlations of dermoscopic features in 202 melanocytic lesions. </w:t>
      </w:r>
      <w:r w:rsidRPr="00FD3D4C">
        <w:rPr>
          <w:rFonts w:ascii="Times New Roman" w:eastAsia="Times New Roman" w:hAnsi="Times New Roman" w:cs="Times New Roman"/>
          <w:i/>
          <w:iCs/>
          <w:color w:val="000000"/>
          <w:sz w:val="24"/>
          <w:szCs w:val="24"/>
        </w:rPr>
        <w:t>Arch Dermatol. </w:t>
      </w:r>
      <w:r w:rsidRPr="00FD3D4C">
        <w:rPr>
          <w:rFonts w:ascii="Times New Roman" w:eastAsia="Times New Roman" w:hAnsi="Times New Roman" w:cs="Times New Roman"/>
          <w:color w:val="000000"/>
          <w:sz w:val="24"/>
          <w:szCs w:val="24"/>
        </w:rPr>
        <w:t>2008;144:1597–1608. doi: 10.1001/archderm.144.12.1597.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3. Scope A, Benvenuto-Andrade C, Agero AL, et al. Correlation of dermoscopic structures of melanocytic lesions to reflectance confocal microscopy. </w:t>
      </w:r>
      <w:r w:rsidRPr="00FD3D4C">
        <w:rPr>
          <w:rFonts w:ascii="Times New Roman" w:eastAsia="Times New Roman" w:hAnsi="Times New Roman" w:cs="Times New Roman"/>
          <w:i/>
          <w:iCs/>
          <w:color w:val="000000"/>
          <w:sz w:val="24"/>
          <w:szCs w:val="24"/>
        </w:rPr>
        <w:t>Arch Dermatol. </w:t>
      </w:r>
      <w:r w:rsidRPr="00FD3D4C">
        <w:rPr>
          <w:rFonts w:ascii="Times New Roman" w:eastAsia="Times New Roman" w:hAnsi="Times New Roman" w:cs="Times New Roman"/>
          <w:color w:val="000000"/>
          <w:sz w:val="24"/>
          <w:szCs w:val="24"/>
        </w:rPr>
        <w:t>2007;143:176–185. doi: 10.1001/archderm.143.2.176.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lastRenderedPageBreak/>
        <w:t>4. Braga JC, Macedo MP, Pinto C, et al. Learning reflectance confocal microscopy of melanocytic skin lesions through histopathologic transversal sections. </w:t>
      </w:r>
      <w:r w:rsidRPr="00FD3D4C">
        <w:rPr>
          <w:rFonts w:ascii="Times New Roman" w:eastAsia="Times New Roman" w:hAnsi="Times New Roman" w:cs="Times New Roman"/>
          <w:i/>
          <w:iCs/>
          <w:color w:val="000000"/>
          <w:sz w:val="24"/>
          <w:szCs w:val="24"/>
        </w:rPr>
        <w:t>PLoS One. </w:t>
      </w:r>
      <w:r w:rsidRPr="00FD3D4C">
        <w:rPr>
          <w:rFonts w:ascii="Times New Roman" w:eastAsia="Times New Roman" w:hAnsi="Times New Roman" w:cs="Times New Roman"/>
          <w:color w:val="000000"/>
          <w:sz w:val="24"/>
          <w:szCs w:val="24"/>
        </w:rPr>
        <w:t>2013;8:e81205. doi: 10.1371/journal.pone.0081205.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5. Stevenson D, Mickan S, Mallet S, et al. Systematic review of diagnostic accuracy of reflectance confocal microscopy for melanoma diagnosis in patients with clinically equivocal skin lesions. </w:t>
      </w:r>
      <w:r w:rsidRPr="00FD3D4C">
        <w:rPr>
          <w:rFonts w:ascii="Times New Roman" w:eastAsia="Times New Roman" w:hAnsi="Times New Roman" w:cs="Times New Roman"/>
          <w:i/>
          <w:iCs/>
          <w:color w:val="000000"/>
          <w:sz w:val="24"/>
          <w:szCs w:val="24"/>
        </w:rPr>
        <w:t>Dermatol Pract Concept. </w:t>
      </w:r>
      <w:r w:rsidRPr="00FD3D4C">
        <w:rPr>
          <w:rFonts w:ascii="Times New Roman" w:eastAsia="Times New Roman" w:hAnsi="Times New Roman" w:cs="Times New Roman"/>
          <w:color w:val="000000"/>
          <w:sz w:val="24"/>
          <w:szCs w:val="24"/>
        </w:rPr>
        <w:t>2013;3(04):19–27. doi: 10.5826/dpc.0304a05.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6. Langley RGB, Walsh N, Sutherland AE, et al. The diagnostic accuracy of in vivo confocal scanning laser microscopy compared to dermoscopy of benign and malignant melanocytic lesions: a prospective study. </w:t>
      </w:r>
      <w:r w:rsidRPr="00FD3D4C">
        <w:rPr>
          <w:rFonts w:ascii="Times New Roman" w:eastAsia="Times New Roman" w:hAnsi="Times New Roman" w:cs="Times New Roman"/>
          <w:i/>
          <w:iCs/>
          <w:color w:val="000000"/>
          <w:sz w:val="24"/>
          <w:szCs w:val="24"/>
        </w:rPr>
        <w:t>Dermatology. </w:t>
      </w:r>
      <w:r w:rsidRPr="00FD3D4C">
        <w:rPr>
          <w:rFonts w:ascii="Times New Roman" w:eastAsia="Times New Roman" w:hAnsi="Times New Roman" w:cs="Times New Roman"/>
          <w:color w:val="000000"/>
          <w:sz w:val="24"/>
          <w:szCs w:val="24"/>
        </w:rPr>
        <w:t>2007;215:365–72. doi: 10.1159/000109087.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7. Borsari S, Pampena R, Benati E, et al. In vivo dermoscopic and confocal microscopy multistep algorithm to detect in situ melanomas. </w:t>
      </w:r>
      <w:r w:rsidRPr="00FD3D4C">
        <w:rPr>
          <w:rFonts w:ascii="Times New Roman" w:eastAsia="Times New Roman" w:hAnsi="Times New Roman" w:cs="Times New Roman"/>
          <w:i/>
          <w:iCs/>
          <w:color w:val="000000"/>
          <w:sz w:val="24"/>
          <w:szCs w:val="24"/>
        </w:rPr>
        <w:t>Br J Dermatol. </w:t>
      </w:r>
      <w:r w:rsidRPr="00FD3D4C">
        <w:rPr>
          <w:rFonts w:ascii="Times New Roman" w:eastAsia="Times New Roman" w:hAnsi="Times New Roman" w:cs="Times New Roman"/>
          <w:color w:val="000000"/>
          <w:sz w:val="24"/>
          <w:szCs w:val="24"/>
        </w:rPr>
        <w:t>2018;179:163–72. doi: 10.1111/bjd.16364.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8. Guitera P, pellacani G, Longo C, et al. In vivo reflectance confocal microscopy enhances secondary evaluation of melanocytic lesions. </w:t>
      </w:r>
      <w:r w:rsidRPr="00FD3D4C">
        <w:rPr>
          <w:rFonts w:ascii="Times New Roman" w:eastAsia="Times New Roman" w:hAnsi="Times New Roman" w:cs="Times New Roman"/>
          <w:i/>
          <w:iCs/>
          <w:color w:val="000000"/>
          <w:sz w:val="24"/>
          <w:szCs w:val="24"/>
        </w:rPr>
        <w:t>J Invest Dermatol. </w:t>
      </w:r>
      <w:r w:rsidRPr="00FD3D4C">
        <w:rPr>
          <w:rFonts w:ascii="Times New Roman" w:eastAsia="Times New Roman" w:hAnsi="Times New Roman" w:cs="Times New Roman"/>
          <w:color w:val="000000"/>
          <w:sz w:val="24"/>
          <w:szCs w:val="24"/>
        </w:rPr>
        <w:t>2009;120:131–8. doi: 10.1038/jid.2008.193. </w:t>
      </w:r>
    </w:p>
    <w:p w:rsidR="008E34E9"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9. Cinotti E, Labeille B, Debarbieux S, et al. Dermoscopy vs. Reflectance confocal microscopy for the diagnosis of lentigo maligna. </w:t>
      </w:r>
      <w:r w:rsidRPr="00FD3D4C">
        <w:rPr>
          <w:rFonts w:ascii="Times New Roman" w:eastAsia="Times New Roman" w:hAnsi="Times New Roman" w:cs="Times New Roman"/>
          <w:i/>
          <w:iCs/>
          <w:color w:val="000000"/>
          <w:sz w:val="24"/>
          <w:szCs w:val="24"/>
        </w:rPr>
        <w:t>J Eur Acad Dermatol Venereol. </w:t>
      </w:r>
      <w:r w:rsidRPr="00FD3D4C">
        <w:rPr>
          <w:rFonts w:ascii="Times New Roman" w:eastAsia="Times New Roman" w:hAnsi="Times New Roman" w:cs="Times New Roman"/>
          <w:color w:val="000000"/>
          <w:sz w:val="24"/>
          <w:szCs w:val="24"/>
        </w:rPr>
        <w:t>2018</w:t>
      </w:r>
      <w:r w:rsidR="008E34E9" w:rsidRPr="00FD3D4C">
        <w:rPr>
          <w:rFonts w:ascii="Times New Roman" w:eastAsia="Times New Roman" w:hAnsi="Times New Roman" w:cs="Times New Roman"/>
          <w:color w:val="000000"/>
          <w:sz w:val="24"/>
          <w:szCs w:val="24"/>
        </w:rPr>
        <w:t>; 32</w:t>
      </w:r>
      <w:r w:rsidRPr="00FD3D4C">
        <w:rPr>
          <w:rFonts w:ascii="Times New Roman" w:eastAsia="Times New Roman" w:hAnsi="Times New Roman" w:cs="Times New Roman"/>
          <w:color w:val="000000"/>
          <w:sz w:val="24"/>
          <w:szCs w:val="24"/>
        </w:rPr>
        <w:t>(8):1284–1921.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10. Pellacani G, Guitera P, Longo C, et al. The impact of in vivo reflectance confocal microscopy for the diagnostic accuracy of melanoma and equivocal melanocytic lesions. </w:t>
      </w:r>
      <w:r w:rsidRPr="00FD3D4C">
        <w:rPr>
          <w:rFonts w:ascii="Times New Roman" w:eastAsia="Times New Roman" w:hAnsi="Times New Roman" w:cs="Times New Roman"/>
          <w:i/>
          <w:iCs/>
          <w:color w:val="000000"/>
          <w:sz w:val="24"/>
          <w:szCs w:val="24"/>
        </w:rPr>
        <w:t>J Invest Dermatol. </w:t>
      </w:r>
      <w:r w:rsidRPr="00FD3D4C">
        <w:rPr>
          <w:rFonts w:ascii="Times New Roman" w:eastAsia="Times New Roman" w:hAnsi="Times New Roman" w:cs="Times New Roman"/>
          <w:color w:val="000000"/>
          <w:sz w:val="24"/>
          <w:szCs w:val="24"/>
        </w:rPr>
        <w:t>2007;127(12):2759–65. doi: 10.1038/sj.jid.5700993</w:t>
      </w:r>
    </w:p>
    <w:sectPr w:rsidR="00FD3D4C">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2AB" w:rsidRDefault="00C062AB" w:rsidP="00AE7E0F">
      <w:pPr>
        <w:spacing w:after="0" w:line="240" w:lineRule="auto"/>
      </w:pPr>
      <w:r>
        <w:separator/>
      </w:r>
    </w:p>
  </w:endnote>
  <w:endnote w:type="continuationSeparator" w:id="0">
    <w:p w:rsidR="00C062AB" w:rsidRDefault="00C062AB" w:rsidP="00AE7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2AB" w:rsidRDefault="00C062AB" w:rsidP="00AE7E0F">
      <w:pPr>
        <w:spacing w:after="0" w:line="240" w:lineRule="auto"/>
      </w:pPr>
      <w:r>
        <w:separator/>
      </w:r>
    </w:p>
  </w:footnote>
  <w:footnote w:type="continuationSeparator" w:id="0">
    <w:p w:rsidR="00C062AB" w:rsidRDefault="00C062AB" w:rsidP="00AE7E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E0" w:rsidRPr="006F67E0" w:rsidRDefault="006F67E0" w:rsidP="008E34E9">
    <w:pPr>
      <w:pStyle w:val="Header"/>
      <w:rPr>
        <w:rFonts w:ascii="Times New Roman" w:hAnsi="Times New Roman" w:cs="Times New Roman"/>
        <w:b/>
        <w:sz w:val="28"/>
      </w:rPr>
    </w:pPr>
    <w:r>
      <w:rPr>
        <w:rFonts w:ascii="Times New Roman" w:hAnsi="Times New Roman" w:cs="Times New Roman"/>
        <w:b/>
        <w:sz w:val="28"/>
      </w:rPr>
      <w:t xml:space="preserve">                     </w:t>
    </w:r>
    <w:r w:rsidR="008E34E9" w:rsidRPr="006F67E0">
      <w:rPr>
        <w:rFonts w:ascii="Times New Roman" w:hAnsi="Times New Roman" w:cs="Times New Roman"/>
        <w:b/>
        <w:sz w:val="28"/>
      </w:rPr>
      <w:t>Journal of aesthetic and reconstructive surgery</w:t>
    </w:r>
  </w:p>
  <w:p w:rsidR="00AE7E0F" w:rsidRPr="006F67E0" w:rsidRDefault="006F67E0">
    <w:pPr>
      <w:pStyle w:val="Header"/>
      <w:rPr>
        <w:rFonts w:ascii="Times New Roman" w:hAnsi="Times New Roman" w:cs="Times New Roman"/>
        <w:b/>
        <w:sz w:val="24"/>
      </w:rPr>
    </w:pPr>
    <w:r>
      <w:rPr>
        <w:rFonts w:ascii="Times New Roman" w:hAnsi="Times New Roman" w:cs="Times New Roman"/>
        <w:b/>
        <w:sz w:val="24"/>
      </w:rPr>
      <w:t xml:space="preserve">                                                                                                            </w:t>
    </w:r>
    <w:r>
      <w:rPr>
        <w:rFonts w:ascii="Times New Roman" w:hAnsi="Times New Roman" w:cs="Times New Roman"/>
        <w:b/>
      </w:rPr>
      <w:t>Volume 7, Issue 4</w:t>
    </w:r>
    <w:r w:rsidRPr="006F67E0">
      <w:rPr>
        <w:rFonts w:ascii="Times New Roman" w:hAnsi="Times New Roman" w:cs="Times New Roman"/>
        <w:b/>
      </w:rPr>
      <w:t xml:space="preserve">       </w:t>
    </w:r>
    <w:r w:rsidR="008E34E9" w:rsidRPr="006F67E0">
      <w:rPr>
        <w:rFonts w:ascii="Times New Roman" w:hAnsi="Times New Roman" w:cs="Times New Roman"/>
        <w:b/>
      </w:rPr>
      <w:t xml:space="preserve">                      </w:t>
    </w:r>
  </w:p>
  <w:p w:rsidR="00AE7E0F" w:rsidRPr="008E34E9" w:rsidRDefault="00AE7E0F">
    <w:pPr>
      <w:pStyle w:val="Header"/>
      <w:rPr>
        <w:rFonts w:ascii="Times New Roman" w:hAnsi="Times New Roman" w:cs="Times New Roma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hAnsi="Times New Roman" w:cs="Times New Roman"/>
        <w:sz w:val="40"/>
      </w:rPr>
      <w:t xml:space="preserve">                                </w:t>
    </w:r>
    <w:r w:rsidRPr="008E34E9">
      <w:rPr>
        <w:rFonts w:ascii="Times New Roman" w:hAnsi="Times New Roman" w:cs="Times New Roma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24</w:t>
    </w:r>
    <w:r w:rsidRPr="007056FD">
      <w:rPr>
        <w:rFonts w:ascii="Times New Roman" w:hAnsi="Times New Roman" w:cs="Times New Roman"/>
        <w:b/>
        <w:caps/>
        <w:sz w:val="36"/>
        <w:vertAlign w:val="superscript"/>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th</w:t>
    </w:r>
    <w:r w:rsidRPr="008E34E9">
      <w:rPr>
        <w:rFonts w:ascii="Times New Roman" w:hAnsi="Times New Roman" w:cs="Times New Roma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World </w:t>
    </w:r>
  </w:p>
  <w:p w:rsidR="00AE7E0F" w:rsidRPr="008E34E9" w:rsidRDefault="00AE7E0F">
    <w:pPr>
      <w:pStyle w:val="Header"/>
      <w:rPr>
        <w:rFonts w:ascii="Times New Roman" w:hAnsi="Times New Roman" w:cs="Times New Roman"/>
        <w:sz w:val="36"/>
      </w:rPr>
    </w:pPr>
    <w:r w:rsidRPr="008E34E9">
      <w:rPr>
        <w:rFonts w:ascii="Times New Roman" w:hAnsi="Times New Roman" w:cs="Times New Roma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8E34E9">
      <w:rPr>
        <w:rFonts w:ascii="Times New Roman" w:hAnsi="Times New Roman" w:cs="Times New Roma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8E34E9">
      <w:rPr>
        <w:rFonts w:ascii="Times New Roman" w:hAnsi="Times New Roman" w:cs="Times New Roma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Dermatology and Aesthetic Congress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74D59"/>
    <w:multiLevelType w:val="multilevel"/>
    <w:tmpl w:val="06F89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6C2"/>
    <w:rsid w:val="00085909"/>
    <w:rsid w:val="00182DE0"/>
    <w:rsid w:val="00252FE9"/>
    <w:rsid w:val="002E3531"/>
    <w:rsid w:val="003067DC"/>
    <w:rsid w:val="003710AC"/>
    <w:rsid w:val="00477977"/>
    <w:rsid w:val="00486BB5"/>
    <w:rsid w:val="004E5F98"/>
    <w:rsid w:val="004F2F83"/>
    <w:rsid w:val="005312A4"/>
    <w:rsid w:val="005816C2"/>
    <w:rsid w:val="006163D4"/>
    <w:rsid w:val="006A3AFF"/>
    <w:rsid w:val="006C133F"/>
    <w:rsid w:val="006F67E0"/>
    <w:rsid w:val="007056FD"/>
    <w:rsid w:val="007F396B"/>
    <w:rsid w:val="008E34E9"/>
    <w:rsid w:val="0092303B"/>
    <w:rsid w:val="00A43807"/>
    <w:rsid w:val="00AE7E0F"/>
    <w:rsid w:val="00C062AB"/>
    <w:rsid w:val="00CA6AB2"/>
    <w:rsid w:val="00DD2451"/>
    <w:rsid w:val="00EC4876"/>
    <w:rsid w:val="00EE0CE8"/>
    <w:rsid w:val="00FD3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230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16C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16C2"/>
    <w:rPr>
      <w:rFonts w:ascii="Tw Cen MT" w:eastAsia="Tw Cen MT" w:hAnsi="Tw Cen MT" w:cs="Tw Cen MT"/>
      <w:sz w:val="18"/>
      <w:szCs w:val="18"/>
    </w:rPr>
  </w:style>
  <w:style w:type="character" w:customStyle="1" w:styleId="c-article-referencescounter">
    <w:name w:val="c-article-references__counter"/>
    <w:basedOn w:val="DefaultParagraphFont"/>
    <w:rsid w:val="00EC4876"/>
  </w:style>
  <w:style w:type="paragraph" w:customStyle="1" w:styleId="c-article-referencestext">
    <w:name w:val="c-article-references__text"/>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4876"/>
    <w:rPr>
      <w:color w:val="0000FF"/>
      <w:u w:val="single"/>
    </w:rPr>
  </w:style>
  <w:style w:type="paragraph" w:customStyle="1" w:styleId="c-article-referenceslinks">
    <w:name w:val="c-article-references__links"/>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FD3D4C"/>
  </w:style>
  <w:style w:type="character" w:customStyle="1" w:styleId="ref-journal">
    <w:name w:val="ref-journal"/>
    <w:basedOn w:val="DefaultParagraphFont"/>
    <w:rsid w:val="00FD3D4C"/>
  </w:style>
  <w:style w:type="character" w:customStyle="1" w:styleId="ref-vol">
    <w:name w:val="ref-vol"/>
    <w:basedOn w:val="DefaultParagraphFont"/>
    <w:rsid w:val="00FD3D4C"/>
  </w:style>
  <w:style w:type="character" w:customStyle="1" w:styleId="nowrap">
    <w:name w:val="nowrap"/>
    <w:basedOn w:val="DefaultParagraphFont"/>
    <w:rsid w:val="00FD3D4C"/>
  </w:style>
  <w:style w:type="paragraph" w:styleId="BalloonText">
    <w:name w:val="Balloon Text"/>
    <w:basedOn w:val="Normal"/>
    <w:link w:val="BalloonTextChar"/>
    <w:uiPriority w:val="99"/>
    <w:semiHidden/>
    <w:unhideWhenUsed/>
    <w:rsid w:val="00FD3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D4C"/>
    <w:rPr>
      <w:rFonts w:ascii="Tahoma" w:hAnsi="Tahoma" w:cs="Tahoma"/>
      <w:sz w:val="16"/>
      <w:szCs w:val="16"/>
    </w:rPr>
  </w:style>
  <w:style w:type="character" w:customStyle="1" w:styleId="Heading1Char">
    <w:name w:val="Heading 1 Char"/>
    <w:basedOn w:val="DefaultParagraphFont"/>
    <w:link w:val="Heading1"/>
    <w:uiPriority w:val="9"/>
    <w:rsid w:val="0092303B"/>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E7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E0F"/>
  </w:style>
  <w:style w:type="paragraph" w:styleId="Footer">
    <w:name w:val="footer"/>
    <w:basedOn w:val="Normal"/>
    <w:link w:val="FooterChar"/>
    <w:uiPriority w:val="99"/>
    <w:unhideWhenUsed/>
    <w:rsid w:val="00AE7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E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230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16C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16C2"/>
    <w:rPr>
      <w:rFonts w:ascii="Tw Cen MT" w:eastAsia="Tw Cen MT" w:hAnsi="Tw Cen MT" w:cs="Tw Cen MT"/>
      <w:sz w:val="18"/>
      <w:szCs w:val="18"/>
    </w:rPr>
  </w:style>
  <w:style w:type="character" w:customStyle="1" w:styleId="c-article-referencescounter">
    <w:name w:val="c-article-references__counter"/>
    <w:basedOn w:val="DefaultParagraphFont"/>
    <w:rsid w:val="00EC4876"/>
  </w:style>
  <w:style w:type="paragraph" w:customStyle="1" w:styleId="c-article-referencestext">
    <w:name w:val="c-article-references__text"/>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4876"/>
    <w:rPr>
      <w:color w:val="0000FF"/>
      <w:u w:val="single"/>
    </w:rPr>
  </w:style>
  <w:style w:type="paragraph" w:customStyle="1" w:styleId="c-article-referenceslinks">
    <w:name w:val="c-article-references__links"/>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FD3D4C"/>
  </w:style>
  <w:style w:type="character" w:customStyle="1" w:styleId="ref-journal">
    <w:name w:val="ref-journal"/>
    <w:basedOn w:val="DefaultParagraphFont"/>
    <w:rsid w:val="00FD3D4C"/>
  </w:style>
  <w:style w:type="character" w:customStyle="1" w:styleId="ref-vol">
    <w:name w:val="ref-vol"/>
    <w:basedOn w:val="DefaultParagraphFont"/>
    <w:rsid w:val="00FD3D4C"/>
  </w:style>
  <w:style w:type="character" w:customStyle="1" w:styleId="nowrap">
    <w:name w:val="nowrap"/>
    <w:basedOn w:val="DefaultParagraphFont"/>
    <w:rsid w:val="00FD3D4C"/>
  </w:style>
  <w:style w:type="paragraph" w:styleId="BalloonText">
    <w:name w:val="Balloon Text"/>
    <w:basedOn w:val="Normal"/>
    <w:link w:val="BalloonTextChar"/>
    <w:uiPriority w:val="99"/>
    <w:semiHidden/>
    <w:unhideWhenUsed/>
    <w:rsid w:val="00FD3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D4C"/>
    <w:rPr>
      <w:rFonts w:ascii="Tahoma" w:hAnsi="Tahoma" w:cs="Tahoma"/>
      <w:sz w:val="16"/>
      <w:szCs w:val="16"/>
    </w:rPr>
  </w:style>
  <w:style w:type="character" w:customStyle="1" w:styleId="Heading1Char">
    <w:name w:val="Heading 1 Char"/>
    <w:basedOn w:val="DefaultParagraphFont"/>
    <w:link w:val="Heading1"/>
    <w:uiPriority w:val="9"/>
    <w:rsid w:val="0092303B"/>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E7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E0F"/>
  </w:style>
  <w:style w:type="paragraph" w:styleId="Footer">
    <w:name w:val="footer"/>
    <w:basedOn w:val="Normal"/>
    <w:link w:val="FooterChar"/>
    <w:uiPriority w:val="99"/>
    <w:unhideWhenUsed/>
    <w:rsid w:val="00AE7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0446">
      <w:bodyDiv w:val="1"/>
      <w:marLeft w:val="0"/>
      <w:marRight w:val="0"/>
      <w:marTop w:val="0"/>
      <w:marBottom w:val="0"/>
      <w:divBdr>
        <w:top w:val="none" w:sz="0" w:space="0" w:color="auto"/>
        <w:left w:val="none" w:sz="0" w:space="0" w:color="auto"/>
        <w:bottom w:val="none" w:sz="0" w:space="0" w:color="auto"/>
        <w:right w:val="none" w:sz="0" w:space="0" w:color="auto"/>
      </w:divBdr>
      <w:divsChild>
        <w:div w:id="1588660168">
          <w:marLeft w:val="0"/>
          <w:marRight w:val="0"/>
          <w:marTop w:val="0"/>
          <w:marBottom w:val="0"/>
          <w:divBdr>
            <w:top w:val="single" w:sz="12" w:space="0" w:color="EBEFF4"/>
            <w:left w:val="single" w:sz="12" w:space="0" w:color="EBEFF4"/>
            <w:bottom w:val="single" w:sz="12" w:space="0" w:color="EBEFF4"/>
            <w:right w:val="single" w:sz="12" w:space="0" w:color="EBEFF4"/>
          </w:divBdr>
        </w:div>
      </w:divsChild>
    </w:div>
    <w:div w:id="461119092">
      <w:bodyDiv w:val="1"/>
      <w:marLeft w:val="0"/>
      <w:marRight w:val="0"/>
      <w:marTop w:val="0"/>
      <w:marBottom w:val="0"/>
      <w:divBdr>
        <w:top w:val="none" w:sz="0" w:space="0" w:color="auto"/>
        <w:left w:val="none" w:sz="0" w:space="0" w:color="auto"/>
        <w:bottom w:val="none" w:sz="0" w:space="0" w:color="auto"/>
        <w:right w:val="none" w:sz="0" w:space="0" w:color="auto"/>
      </w:divBdr>
    </w:div>
    <w:div w:id="908421922">
      <w:bodyDiv w:val="1"/>
      <w:marLeft w:val="0"/>
      <w:marRight w:val="0"/>
      <w:marTop w:val="0"/>
      <w:marBottom w:val="0"/>
      <w:divBdr>
        <w:top w:val="none" w:sz="0" w:space="0" w:color="auto"/>
        <w:left w:val="none" w:sz="0" w:space="0" w:color="auto"/>
        <w:bottom w:val="none" w:sz="0" w:space="0" w:color="auto"/>
        <w:right w:val="none" w:sz="0" w:space="0" w:color="auto"/>
      </w:divBdr>
    </w:div>
    <w:div w:id="1033992316">
      <w:bodyDiv w:val="1"/>
      <w:marLeft w:val="0"/>
      <w:marRight w:val="0"/>
      <w:marTop w:val="0"/>
      <w:marBottom w:val="0"/>
      <w:divBdr>
        <w:top w:val="none" w:sz="0" w:space="0" w:color="auto"/>
        <w:left w:val="none" w:sz="0" w:space="0" w:color="auto"/>
        <w:bottom w:val="none" w:sz="0" w:space="0" w:color="auto"/>
        <w:right w:val="none" w:sz="0" w:space="0" w:color="auto"/>
      </w:divBdr>
      <w:divsChild>
        <w:div w:id="63991831">
          <w:marLeft w:val="0"/>
          <w:marRight w:val="0"/>
          <w:marTop w:val="0"/>
          <w:marBottom w:val="0"/>
          <w:divBdr>
            <w:top w:val="single" w:sz="12" w:space="0" w:color="EBEFF4"/>
            <w:left w:val="single" w:sz="12" w:space="0" w:color="EBEFF4"/>
            <w:bottom w:val="single" w:sz="12" w:space="0" w:color="EBEFF4"/>
            <w:right w:val="single" w:sz="12" w:space="0" w:color="EBEFF4"/>
          </w:divBdr>
        </w:div>
      </w:divsChild>
    </w:div>
    <w:div w:id="1061442722">
      <w:bodyDiv w:val="1"/>
      <w:marLeft w:val="0"/>
      <w:marRight w:val="0"/>
      <w:marTop w:val="0"/>
      <w:marBottom w:val="0"/>
      <w:divBdr>
        <w:top w:val="none" w:sz="0" w:space="0" w:color="auto"/>
        <w:left w:val="none" w:sz="0" w:space="0" w:color="auto"/>
        <w:bottom w:val="none" w:sz="0" w:space="0" w:color="auto"/>
        <w:right w:val="none" w:sz="0" w:space="0" w:color="auto"/>
      </w:divBdr>
    </w:div>
    <w:div w:id="1117331308">
      <w:bodyDiv w:val="1"/>
      <w:marLeft w:val="0"/>
      <w:marRight w:val="0"/>
      <w:marTop w:val="0"/>
      <w:marBottom w:val="0"/>
      <w:divBdr>
        <w:top w:val="none" w:sz="0" w:space="0" w:color="auto"/>
        <w:left w:val="none" w:sz="0" w:space="0" w:color="auto"/>
        <w:bottom w:val="none" w:sz="0" w:space="0" w:color="auto"/>
        <w:right w:val="none" w:sz="0" w:space="0" w:color="auto"/>
      </w:divBdr>
    </w:div>
    <w:div w:id="1291595921">
      <w:bodyDiv w:val="1"/>
      <w:marLeft w:val="0"/>
      <w:marRight w:val="0"/>
      <w:marTop w:val="0"/>
      <w:marBottom w:val="0"/>
      <w:divBdr>
        <w:top w:val="none" w:sz="0" w:space="0" w:color="auto"/>
        <w:left w:val="none" w:sz="0" w:space="0" w:color="auto"/>
        <w:bottom w:val="none" w:sz="0" w:space="0" w:color="auto"/>
        <w:right w:val="none" w:sz="0" w:space="0" w:color="auto"/>
      </w:divBdr>
    </w:div>
    <w:div w:id="1353801848">
      <w:bodyDiv w:val="1"/>
      <w:marLeft w:val="0"/>
      <w:marRight w:val="0"/>
      <w:marTop w:val="0"/>
      <w:marBottom w:val="0"/>
      <w:divBdr>
        <w:top w:val="none" w:sz="0" w:space="0" w:color="auto"/>
        <w:left w:val="none" w:sz="0" w:space="0" w:color="auto"/>
        <w:bottom w:val="none" w:sz="0" w:space="0" w:color="auto"/>
        <w:right w:val="none" w:sz="0" w:space="0" w:color="auto"/>
      </w:divBdr>
    </w:div>
    <w:div w:id="1464930974">
      <w:bodyDiv w:val="1"/>
      <w:marLeft w:val="0"/>
      <w:marRight w:val="0"/>
      <w:marTop w:val="0"/>
      <w:marBottom w:val="0"/>
      <w:divBdr>
        <w:top w:val="none" w:sz="0" w:space="0" w:color="auto"/>
        <w:left w:val="none" w:sz="0" w:space="0" w:color="auto"/>
        <w:bottom w:val="none" w:sz="0" w:space="0" w:color="auto"/>
        <w:right w:val="none" w:sz="0" w:space="0" w:color="auto"/>
      </w:divBdr>
      <w:divsChild>
        <w:div w:id="397478532">
          <w:marLeft w:val="0"/>
          <w:marRight w:val="0"/>
          <w:marTop w:val="166"/>
          <w:marBottom w:val="166"/>
          <w:divBdr>
            <w:top w:val="none" w:sz="0" w:space="0" w:color="auto"/>
            <w:left w:val="none" w:sz="0" w:space="0" w:color="auto"/>
            <w:bottom w:val="none" w:sz="0" w:space="0" w:color="auto"/>
            <w:right w:val="none" w:sz="0" w:space="0" w:color="auto"/>
          </w:divBdr>
        </w:div>
        <w:div w:id="1956446272">
          <w:marLeft w:val="0"/>
          <w:marRight w:val="0"/>
          <w:marTop w:val="166"/>
          <w:marBottom w:val="166"/>
          <w:divBdr>
            <w:top w:val="none" w:sz="0" w:space="0" w:color="auto"/>
            <w:left w:val="none" w:sz="0" w:space="0" w:color="auto"/>
            <w:bottom w:val="none" w:sz="0" w:space="0" w:color="auto"/>
            <w:right w:val="none" w:sz="0" w:space="0" w:color="auto"/>
          </w:divBdr>
        </w:div>
        <w:div w:id="214779577">
          <w:marLeft w:val="0"/>
          <w:marRight w:val="0"/>
          <w:marTop w:val="166"/>
          <w:marBottom w:val="166"/>
          <w:divBdr>
            <w:top w:val="none" w:sz="0" w:space="0" w:color="auto"/>
            <w:left w:val="none" w:sz="0" w:space="0" w:color="auto"/>
            <w:bottom w:val="none" w:sz="0" w:space="0" w:color="auto"/>
            <w:right w:val="none" w:sz="0" w:space="0" w:color="auto"/>
          </w:divBdr>
        </w:div>
        <w:div w:id="869758764">
          <w:marLeft w:val="0"/>
          <w:marRight w:val="0"/>
          <w:marTop w:val="166"/>
          <w:marBottom w:val="166"/>
          <w:divBdr>
            <w:top w:val="none" w:sz="0" w:space="0" w:color="auto"/>
            <w:left w:val="none" w:sz="0" w:space="0" w:color="auto"/>
            <w:bottom w:val="none" w:sz="0" w:space="0" w:color="auto"/>
            <w:right w:val="none" w:sz="0" w:space="0" w:color="auto"/>
          </w:divBdr>
        </w:div>
        <w:div w:id="243420225">
          <w:marLeft w:val="0"/>
          <w:marRight w:val="0"/>
          <w:marTop w:val="166"/>
          <w:marBottom w:val="166"/>
          <w:divBdr>
            <w:top w:val="none" w:sz="0" w:space="0" w:color="auto"/>
            <w:left w:val="none" w:sz="0" w:space="0" w:color="auto"/>
            <w:bottom w:val="none" w:sz="0" w:space="0" w:color="auto"/>
            <w:right w:val="none" w:sz="0" w:space="0" w:color="auto"/>
          </w:divBdr>
        </w:div>
        <w:div w:id="115760920">
          <w:marLeft w:val="0"/>
          <w:marRight w:val="0"/>
          <w:marTop w:val="166"/>
          <w:marBottom w:val="166"/>
          <w:divBdr>
            <w:top w:val="none" w:sz="0" w:space="0" w:color="auto"/>
            <w:left w:val="none" w:sz="0" w:space="0" w:color="auto"/>
            <w:bottom w:val="none" w:sz="0" w:space="0" w:color="auto"/>
            <w:right w:val="none" w:sz="0" w:space="0" w:color="auto"/>
          </w:divBdr>
        </w:div>
        <w:div w:id="867377040">
          <w:marLeft w:val="0"/>
          <w:marRight w:val="0"/>
          <w:marTop w:val="166"/>
          <w:marBottom w:val="166"/>
          <w:divBdr>
            <w:top w:val="none" w:sz="0" w:space="0" w:color="auto"/>
            <w:left w:val="none" w:sz="0" w:space="0" w:color="auto"/>
            <w:bottom w:val="none" w:sz="0" w:space="0" w:color="auto"/>
            <w:right w:val="none" w:sz="0" w:space="0" w:color="auto"/>
          </w:divBdr>
        </w:div>
        <w:div w:id="1731229781">
          <w:marLeft w:val="0"/>
          <w:marRight w:val="0"/>
          <w:marTop w:val="166"/>
          <w:marBottom w:val="166"/>
          <w:divBdr>
            <w:top w:val="none" w:sz="0" w:space="0" w:color="auto"/>
            <w:left w:val="none" w:sz="0" w:space="0" w:color="auto"/>
            <w:bottom w:val="none" w:sz="0" w:space="0" w:color="auto"/>
            <w:right w:val="none" w:sz="0" w:space="0" w:color="auto"/>
          </w:divBdr>
        </w:div>
        <w:div w:id="305090251">
          <w:marLeft w:val="0"/>
          <w:marRight w:val="0"/>
          <w:marTop w:val="166"/>
          <w:marBottom w:val="166"/>
          <w:divBdr>
            <w:top w:val="none" w:sz="0" w:space="0" w:color="auto"/>
            <w:left w:val="none" w:sz="0" w:space="0" w:color="auto"/>
            <w:bottom w:val="none" w:sz="0" w:space="0" w:color="auto"/>
            <w:right w:val="none" w:sz="0" w:space="0" w:color="auto"/>
          </w:divBdr>
        </w:div>
        <w:div w:id="1463616358">
          <w:marLeft w:val="0"/>
          <w:marRight w:val="0"/>
          <w:marTop w:val="166"/>
          <w:marBottom w:val="166"/>
          <w:divBdr>
            <w:top w:val="none" w:sz="0" w:space="0" w:color="auto"/>
            <w:left w:val="none" w:sz="0" w:space="0" w:color="auto"/>
            <w:bottom w:val="none" w:sz="0" w:space="0" w:color="auto"/>
            <w:right w:val="none" w:sz="0" w:space="0" w:color="auto"/>
          </w:divBdr>
        </w:div>
        <w:div w:id="1728186220">
          <w:marLeft w:val="0"/>
          <w:marRight w:val="0"/>
          <w:marTop w:val="166"/>
          <w:marBottom w:val="166"/>
          <w:divBdr>
            <w:top w:val="none" w:sz="0" w:space="0" w:color="auto"/>
            <w:left w:val="none" w:sz="0" w:space="0" w:color="auto"/>
            <w:bottom w:val="none" w:sz="0" w:space="0" w:color="auto"/>
            <w:right w:val="none" w:sz="0" w:space="0" w:color="auto"/>
          </w:divBdr>
        </w:div>
        <w:div w:id="1344089609">
          <w:marLeft w:val="0"/>
          <w:marRight w:val="0"/>
          <w:marTop w:val="166"/>
          <w:marBottom w:val="166"/>
          <w:divBdr>
            <w:top w:val="none" w:sz="0" w:space="0" w:color="auto"/>
            <w:left w:val="none" w:sz="0" w:space="0" w:color="auto"/>
            <w:bottom w:val="none" w:sz="0" w:space="0" w:color="auto"/>
            <w:right w:val="none" w:sz="0" w:space="0" w:color="auto"/>
          </w:divBdr>
        </w:div>
        <w:div w:id="739517793">
          <w:marLeft w:val="0"/>
          <w:marRight w:val="0"/>
          <w:marTop w:val="166"/>
          <w:marBottom w:val="166"/>
          <w:divBdr>
            <w:top w:val="none" w:sz="0" w:space="0" w:color="auto"/>
            <w:left w:val="none" w:sz="0" w:space="0" w:color="auto"/>
            <w:bottom w:val="none" w:sz="0" w:space="0" w:color="auto"/>
            <w:right w:val="none" w:sz="0" w:space="0" w:color="auto"/>
          </w:divBdr>
        </w:div>
        <w:div w:id="429399273">
          <w:marLeft w:val="0"/>
          <w:marRight w:val="0"/>
          <w:marTop w:val="166"/>
          <w:marBottom w:val="166"/>
          <w:divBdr>
            <w:top w:val="none" w:sz="0" w:space="0" w:color="auto"/>
            <w:left w:val="none" w:sz="0" w:space="0" w:color="auto"/>
            <w:bottom w:val="none" w:sz="0" w:space="0" w:color="auto"/>
            <w:right w:val="none" w:sz="0" w:space="0" w:color="auto"/>
          </w:divBdr>
        </w:div>
        <w:div w:id="510412023">
          <w:marLeft w:val="0"/>
          <w:marRight w:val="0"/>
          <w:marTop w:val="166"/>
          <w:marBottom w:val="166"/>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hyperlink" Target="mailto:pmo76@yahoo.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DC93F-F1EA-4AB4-B264-1C50D7C64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Pages>
  <Words>1148</Words>
  <Characters>6546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33</cp:revision>
  <dcterms:created xsi:type="dcterms:W3CDTF">2022-01-27T03:10:00Z</dcterms:created>
  <dcterms:modified xsi:type="dcterms:W3CDTF">2022-01-27T07:16:00Z</dcterms:modified>
</cp:coreProperties>
</file>