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03B" w:rsidRPr="0092303B" w:rsidRDefault="0092303B" w:rsidP="0092303B">
      <w:pPr>
        <w:shd w:val="clear" w:color="auto" w:fill="FFFFFF"/>
        <w:spacing w:after="240" w:line="240" w:lineRule="auto"/>
        <w:outlineLvl w:val="0"/>
        <w:rPr>
          <w:rFonts w:ascii="Trebuchet MS" w:eastAsia="Times New Roman" w:hAnsi="Trebuchet MS" w:cs="Times New Roman"/>
          <w:b/>
          <w:bCs/>
          <w:color w:val="1B3051"/>
          <w:kern w:val="36"/>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92303B">
        <w:rPr>
          <w:rFonts w:ascii="Trebuchet MS" w:eastAsia="Times New Roman" w:hAnsi="Trebuchet MS" w:cs="Times New Roman"/>
          <w:b/>
          <w:bCs/>
          <w:color w:val="1B3051"/>
          <w:kern w:val="36"/>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Effects of variations in access to care for children with atopic dermatitis</w:t>
      </w:r>
    </w:p>
    <w:p w:rsidR="005816C2" w:rsidRPr="007F396B" w:rsidRDefault="005816C2" w:rsidP="003067DC">
      <w:pPr>
        <w:pStyle w:val="BodyText"/>
        <w:spacing w:before="73" w:line="198" w:lineRule="exact"/>
        <w:ind w:left="100" w:right="5987"/>
        <w:rPr>
          <w:rFonts w:ascii="Arial"/>
          <w:sz w:val="20"/>
        </w:rPr>
      </w:pPr>
      <w:r w:rsidRPr="007F396B">
        <w:rPr>
          <w:rFonts w:ascii="Arial"/>
          <w:sz w:val="20"/>
        </w:rPr>
        <w:t>Paola Mina-Osorio, Regeneron Pharmaceuticals, USA</w:t>
      </w:r>
    </w:p>
    <w:p w:rsidR="005816C2" w:rsidRPr="005816C2" w:rsidRDefault="005816C2" w:rsidP="003067DC">
      <w:pPr>
        <w:pStyle w:val="BodyText"/>
        <w:spacing w:before="73" w:line="198" w:lineRule="exact"/>
        <w:ind w:right="5987"/>
        <w:rPr>
          <w:rFonts w:ascii="Arial"/>
          <w:b/>
          <w:sz w:val="28"/>
        </w:rPr>
      </w:pPr>
    </w:p>
    <w:p w:rsidR="005816C2" w:rsidRDefault="005816C2" w:rsidP="003067DC">
      <w:pPr>
        <w:rPr>
          <w:rFonts w:ascii="Times New Roman" w:hAnsi="Times New Roman" w:cs="Times New Roman"/>
          <w:b/>
          <w:sz w:val="36"/>
        </w:rPr>
      </w:pPr>
      <w:r w:rsidRPr="005816C2">
        <w:rPr>
          <w:rFonts w:ascii="Times New Roman" w:hAnsi="Times New Roman" w:cs="Times New Roman"/>
          <w:b/>
          <w:sz w:val="36"/>
        </w:rPr>
        <w:t>Abstract</w:t>
      </w:r>
      <w:r>
        <w:rPr>
          <w:rFonts w:ascii="Times New Roman" w:hAnsi="Times New Roman" w:cs="Times New Roman"/>
          <w:b/>
          <w:sz w:val="36"/>
        </w:rPr>
        <w:t>:</w:t>
      </w:r>
    </w:p>
    <w:p w:rsidR="00477977" w:rsidRPr="00477977" w:rsidRDefault="00477977" w:rsidP="003067DC">
      <w:pPr>
        <w:rPr>
          <w:rFonts w:ascii="Times New Roman" w:hAnsi="Times New Roman" w:cs="Times New Roman"/>
          <w:sz w:val="24"/>
        </w:rPr>
      </w:pPr>
      <w:r w:rsidRPr="00477977">
        <w:rPr>
          <w:rFonts w:ascii="Times New Roman" w:hAnsi="Times New Roman" w:cs="Times New Roman"/>
          <w:sz w:val="24"/>
        </w:rPr>
        <w:t xml:space="preserve">A minority of kids were evaluated by a medicine or allergy/immunology specialist. </w:t>
      </w:r>
      <w:r w:rsidR="00EE0CE8" w:rsidRPr="00477977">
        <w:rPr>
          <w:rFonts w:ascii="Times New Roman" w:hAnsi="Times New Roman" w:cs="Times New Roman"/>
          <w:sz w:val="24"/>
        </w:rPr>
        <w:t>Many</w:t>
      </w:r>
      <w:r w:rsidRPr="00477977">
        <w:rPr>
          <w:rFonts w:ascii="Times New Roman" w:hAnsi="Times New Roman" w:cs="Times New Roman"/>
          <w:sz w:val="24"/>
        </w:rPr>
        <w:t xml:space="preserve"> vital variations were ascertained between commercially and Medicaid-insured youngsters with AD. Disparities detected for Medicaid-insured youngsters included: relatively fewer received specialist care, emergency department and pressing care center utilization were higher, a bigger proportion had respiratory disorder and non-atopic morbidities, high-potency topical corticosteroids, and calcineurin inhibitors were less usually prescribed, and prescriptions for antihistamines were quite thrice higher, despite similar rates of comorbid respiratory disorder and allergies among medicine users. Treatment patterns conjointly varied considerably across doc specialties.</w:t>
      </w:r>
    </w:p>
    <w:p w:rsidR="00477977" w:rsidRPr="00477977" w:rsidRDefault="00EE0CE8" w:rsidP="003067DC">
      <w:pPr>
        <w:rPr>
          <w:rFonts w:ascii="Times New Roman" w:hAnsi="Times New Roman" w:cs="Times New Roman"/>
          <w:sz w:val="24"/>
        </w:rPr>
      </w:pPr>
      <w:r w:rsidRPr="00477977">
        <w:rPr>
          <w:rFonts w:ascii="Times New Roman" w:hAnsi="Times New Roman" w:cs="Times New Roman"/>
          <w:sz w:val="24"/>
        </w:rPr>
        <w:t>A</w:t>
      </w:r>
      <w:r w:rsidR="00477977" w:rsidRPr="00477977">
        <w:rPr>
          <w:rFonts w:ascii="Times New Roman" w:hAnsi="Times New Roman" w:cs="Times New Roman"/>
          <w:sz w:val="24"/>
        </w:rPr>
        <w:t xml:space="preserve"> calculable five hundredth of kids within the America area unit Medicaid-insured. </w:t>
      </w:r>
      <w:r w:rsidRPr="00477977">
        <w:rPr>
          <w:rFonts w:ascii="Times New Roman" w:hAnsi="Times New Roman" w:cs="Times New Roman"/>
          <w:sz w:val="24"/>
        </w:rPr>
        <w:t>A</w:t>
      </w:r>
      <w:r w:rsidR="00477977" w:rsidRPr="00477977">
        <w:rPr>
          <w:rFonts w:ascii="Times New Roman" w:hAnsi="Times New Roman" w:cs="Times New Roman"/>
          <w:sz w:val="24"/>
        </w:rPr>
        <w:t xml:space="preserve"> number of these patients have poor health skill and restricted access to medications and specialty care. These factors have an effect on treatment utilization for </w:t>
      </w:r>
      <w:r w:rsidRPr="00477977">
        <w:rPr>
          <w:rFonts w:ascii="Times New Roman" w:hAnsi="Times New Roman" w:cs="Times New Roman"/>
          <w:sz w:val="24"/>
        </w:rPr>
        <w:t>pediatric</w:t>
      </w:r>
      <w:r w:rsidR="00477977" w:rsidRPr="00477977">
        <w:rPr>
          <w:rFonts w:ascii="Times New Roman" w:hAnsi="Times New Roman" w:cs="Times New Roman"/>
          <w:sz w:val="24"/>
        </w:rPr>
        <w:t xml:space="preserve"> patients with dermatitis (AD), the foremost common inflammatory skin condition in youngsters. This study assesses and compares treatment patterns and health care resource utilization (HCRU) between giant cohorts of Medicaid and commercially insured youngsters with AD.</w:t>
      </w:r>
    </w:p>
    <w:p w:rsidR="00477977" w:rsidRPr="00477977" w:rsidRDefault="00477977" w:rsidP="003067DC">
      <w:pPr>
        <w:rPr>
          <w:rFonts w:ascii="Times New Roman" w:hAnsi="Times New Roman" w:cs="Times New Roman"/>
          <w:sz w:val="24"/>
        </w:rPr>
      </w:pPr>
      <w:r w:rsidRPr="00477977">
        <w:rPr>
          <w:rFonts w:ascii="Times New Roman" w:hAnsi="Times New Roman" w:cs="Times New Roman"/>
          <w:sz w:val="24"/>
        </w:rPr>
        <w:t xml:space="preserve">Using body health care claims information, this study aimed to check real-world patterns of care, medications prescribed, and HCRU between 2 giant cohorts of kids with AD coated by Medicaid and by business insurance plans. Access to treatment, and particularly subspecialty care, for </w:t>
      </w:r>
      <w:r w:rsidR="00EE0CE8" w:rsidRPr="00477977">
        <w:rPr>
          <w:rFonts w:ascii="Times New Roman" w:hAnsi="Times New Roman" w:cs="Times New Roman"/>
          <w:sz w:val="24"/>
        </w:rPr>
        <w:t>pediatric</w:t>
      </w:r>
      <w:r w:rsidRPr="00477977">
        <w:rPr>
          <w:rFonts w:ascii="Times New Roman" w:hAnsi="Times New Roman" w:cs="Times New Roman"/>
          <w:sz w:val="24"/>
        </w:rPr>
        <w:t xml:space="preserve"> patients, is a difficulty that's well recognized however not well studied. Most publications have used surveys of either suppliers or caregivers for broad therapeutic areas. Few reports have centered on variations in treatment patterns of </w:t>
      </w:r>
      <w:r w:rsidR="00EE0CE8" w:rsidRPr="00477977">
        <w:rPr>
          <w:rFonts w:ascii="Times New Roman" w:hAnsi="Times New Roman" w:cs="Times New Roman"/>
          <w:sz w:val="24"/>
        </w:rPr>
        <w:t>pediatric</w:t>
      </w:r>
      <w:r w:rsidRPr="00477977">
        <w:rPr>
          <w:rFonts w:ascii="Times New Roman" w:hAnsi="Times New Roman" w:cs="Times New Roman"/>
          <w:sz w:val="24"/>
        </w:rPr>
        <w:t xml:space="preserve"> patients with AD ascertained across completely different suppliers</w:t>
      </w:r>
    </w:p>
    <w:p w:rsidR="00477977" w:rsidRPr="00477977" w:rsidRDefault="00477977" w:rsidP="003067DC">
      <w:pPr>
        <w:rPr>
          <w:rFonts w:ascii="Times New Roman" w:hAnsi="Times New Roman" w:cs="Times New Roman"/>
          <w:sz w:val="24"/>
        </w:rPr>
      </w:pPr>
      <w:r w:rsidRPr="00477977">
        <w:rPr>
          <w:rFonts w:ascii="Times New Roman" w:hAnsi="Times New Roman" w:cs="Times New Roman"/>
          <w:sz w:val="24"/>
        </w:rPr>
        <w:t>This study provides a novel portrait of patterns of take care of AD derived from databases together with massive samples of Medicaid- and commercially insured kids. Moreover, analyses of treatments and HCRU stratified by supplier kind offer further insights into the character of potential aid disparities.</w:t>
      </w:r>
    </w:p>
    <w:p w:rsidR="00477977" w:rsidRPr="00477977" w:rsidRDefault="00477977" w:rsidP="003067DC">
      <w:pPr>
        <w:rPr>
          <w:rFonts w:ascii="Times New Roman" w:hAnsi="Times New Roman" w:cs="Times New Roman"/>
          <w:sz w:val="24"/>
        </w:rPr>
      </w:pPr>
      <w:r w:rsidRPr="00477977">
        <w:rPr>
          <w:rFonts w:ascii="Times New Roman" w:hAnsi="Times New Roman" w:cs="Times New Roman"/>
          <w:sz w:val="24"/>
        </w:rPr>
        <w:t xml:space="preserve">The type of </w:t>
      </w:r>
      <w:r w:rsidR="00EE0CE8" w:rsidRPr="00477977">
        <w:rPr>
          <w:rFonts w:ascii="Times New Roman" w:hAnsi="Times New Roman" w:cs="Times New Roman"/>
          <w:sz w:val="24"/>
        </w:rPr>
        <w:t>practicing</w:t>
      </w:r>
      <w:r w:rsidRPr="00477977">
        <w:rPr>
          <w:rFonts w:ascii="Times New Roman" w:hAnsi="Times New Roman" w:cs="Times New Roman"/>
          <w:sz w:val="24"/>
        </w:rPr>
        <w:t xml:space="preserve"> seen by patients for his or her initial AD-related visit varied greatly between health care and business patients. </w:t>
      </w:r>
      <w:r w:rsidR="00EE0CE8" w:rsidRPr="00477977">
        <w:rPr>
          <w:rFonts w:ascii="Times New Roman" w:hAnsi="Times New Roman" w:cs="Times New Roman"/>
          <w:sz w:val="24"/>
        </w:rPr>
        <w:t>Though</w:t>
      </w:r>
      <w:r w:rsidRPr="00477977">
        <w:rPr>
          <w:rFonts w:ascii="Times New Roman" w:hAnsi="Times New Roman" w:cs="Times New Roman"/>
          <w:sz w:val="24"/>
        </w:rPr>
        <w:t xml:space="preserve"> </w:t>
      </w:r>
      <w:r w:rsidR="00EE0CE8" w:rsidRPr="00477977">
        <w:rPr>
          <w:rFonts w:ascii="Times New Roman" w:hAnsi="Times New Roman" w:cs="Times New Roman"/>
          <w:sz w:val="24"/>
        </w:rPr>
        <w:t>a tiny</w:t>
      </w:r>
      <w:r w:rsidRPr="00477977">
        <w:rPr>
          <w:rFonts w:ascii="Times New Roman" w:hAnsi="Times New Roman" w:cs="Times New Roman"/>
          <w:sz w:val="24"/>
        </w:rPr>
        <w:t xml:space="preserve"> low proportion of all </w:t>
      </w:r>
      <w:r w:rsidR="00EE0CE8" w:rsidRPr="00477977">
        <w:rPr>
          <w:rFonts w:ascii="Times New Roman" w:hAnsi="Times New Roman" w:cs="Times New Roman"/>
          <w:sz w:val="24"/>
        </w:rPr>
        <w:t>pediatric</w:t>
      </w:r>
      <w:r w:rsidRPr="00477977">
        <w:rPr>
          <w:rFonts w:ascii="Times New Roman" w:hAnsi="Times New Roman" w:cs="Times New Roman"/>
          <w:sz w:val="24"/>
        </w:rPr>
        <w:t xml:space="preserve"> patients, notwithstanding insurance kind, were seen by a</w:t>
      </w:r>
      <w:bookmarkStart w:id="0" w:name="_GoBack"/>
      <w:bookmarkEnd w:id="0"/>
      <w:r w:rsidRPr="00477977">
        <w:rPr>
          <w:rFonts w:ascii="Times New Roman" w:hAnsi="Times New Roman" w:cs="Times New Roman"/>
          <w:sz w:val="24"/>
        </w:rPr>
        <w:t xml:space="preserve"> specialist on their index visit, the proportion of </w:t>
      </w:r>
      <w:r w:rsidRPr="00477977">
        <w:rPr>
          <w:rFonts w:ascii="Times New Roman" w:hAnsi="Times New Roman" w:cs="Times New Roman"/>
          <w:sz w:val="24"/>
        </w:rPr>
        <w:lastRenderedPageBreak/>
        <w:t xml:space="preserve">health care patients WHO did was considerably below for commercially insured patients. </w:t>
      </w:r>
      <w:r w:rsidR="00EE0CE8" w:rsidRPr="00477977">
        <w:rPr>
          <w:rFonts w:ascii="Times New Roman" w:hAnsi="Times New Roman" w:cs="Times New Roman"/>
          <w:sz w:val="24"/>
        </w:rPr>
        <w:t>Moreover</w:t>
      </w:r>
      <w:r w:rsidRPr="00477977">
        <w:rPr>
          <w:rFonts w:ascii="Times New Roman" w:hAnsi="Times New Roman" w:cs="Times New Roman"/>
          <w:sz w:val="24"/>
        </w:rPr>
        <w:t xml:space="preserve">, health care patients were thrice as doubtless to be seen by a supplier kind apart from a specialist, allergist, or pediatrist, compared with business patients. These results support, but exceed, those of </w:t>
      </w:r>
      <w:r w:rsidR="00EE0CE8" w:rsidRPr="00477977">
        <w:rPr>
          <w:rFonts w:ascii="Times New Roman" w:hAnsi="Times New Roman" w:cs="Times New Roman"/>
          <w:sz w:val="24"/>
        </w:rPr>
        <w:t>retrospective</w:t>
      </w:r>
      <w:r w:rsidRPr="00477977">
        <w:rPr>
          <w:rFonts w:ascii="Times New Roman" w:hAnsi="Times New Roman" w:cs="Times New Roman"/>
          <w:sz w:val="24"/>
        </w:rPr>
        <w:t xml:space="preserve"> study exploitation information from the 2008 to 2012 Medical Expenditure Panel Survey, documenting a likelihood of receiving </w:t>
      </w:r>
      <w:r w:rsidR="00EE0CE8" w:rsidRPr="00477977">
        <w:rPr>
          <w:rFonts w:ascii="Times New Roman" w:hAnsi="Times New Roman" w:cs="Times New Roman"/>
          <w:sz w:val="24"/>
        </w:rPr>
        <w:t>identification</w:t>
      </w:r>
      <w:r w:rsidRPr="00477977">
        <w:rPr>
          <w:rFonts w:ascii="Times New Roman" w:hAnsi="Times New Roman" w:cs="Times New Roman"/>
          <w:sz w:val="24"/>
        </w:rPr>
        <w:t xml:space="preserve"> for a skin-related illness from a specialist, for Medicaid-insured compared with in camera insured people. the massive proportion of health care patients seen by alternative supplier varieties might mirror the evaluation/management of health care patients by a non-specialist supplier in associate dysfunction or imperative care setting.</w:t>
      </w:r>
    </w:p>
    <w:p w:rsidR="00477977" w:rsidRDefault="00477977" w:rsidP="003067DC">
      <w:pPr>
        <w:rPr>
          <w:rFonts w:ascii="Times New Roman" w:hAnsi="Times New Roman" w:cs="Times New Roman"/>
          <w:sz w:val="24"/>
        </w:rPr>
      </w:pPr>
      <w:r w:rsidRPr="00477977">
        <w:rPr>
          <w:rFonts w:ascii="Times New Roman" w:hAnsi="Times New Roman" w:cs="Times New Roman"/>
          <w:sz w:val="24"/>
        </w:rPr>
        <w:t xml:space="preserve">Other studies have conjointly documented a coffee acceptance rate of latest health care patients by specialists. One 2004 survey of 612 dermatologists within the North American country found acceptance rates to be abundant lower for health care patients than for in camera insured patients. </w:t>
      </w:r>
      <w:r w:rsidR="00EE0CE8" w:rsidRPr="00477977">
        <w:rPr>
          <w:rFonts w:ascii="Times New Roman" w:hAnsi="Times New Roman" w:cs="Times New Roman"/>
          <w:sz w:val="24"/>
        </w:rPr>
        <w:t>In</w:t>
      </w:r>
      <w:r w:rsidRPr="00477977">
        <w:rPr>
          <w:rFonts w:ascii="Times New Roman" w:hAnsi="Times New Roman" w:cs="Times New Roman"/>
          <w:sz w:val="24"/>
        </w:rPr>
        <w:t xml:space="preserve"> a very 2011 North American country study centered on access to ambulant medicine take care of new </w:t>
      </w:r>
      <w:r w:rsidR="00EE0CE8" w:rsidRPr="00477977">
        <w:rPr>
          <w:rFonts w:ascii="Times New Roman" w:hAnsi="Times New Roman" w:cs="Times New Roman"/>
          <w:sz w:val="24"/>
        </w:rPr>
        <w:t>pediatric</w:t>
      </w:r>
      <w:r w:rsidRPr="00477977">
        <w:rPr>
          <w:rFonts w:ascii="Times New Roman" w:hAnsi="Times New Roman" w:cs="Times New Roman"/>
          <w:sz w:val="24"/>
        </w:rPr>
        <w:t xml:space="preserve"> patients with </w:t>
      </w:r>
      <w:r w:rsidR="00EE0CE8" w:rsidRPr="00477977">
        <w:rPr>
          <w:rFonts w:ascii="Times New Roman" w:hAnsi="Times New Roman" w:cs="Times New Roman"/>
          <w:sz w:val="24"/>
        </w:rPr>
        <w:t>AD;</w:t>
      </w:r>
      <w:r w:rsidRPr="00477977">
        <w:rPr>
          <w:rFonts w:ascii="Times New Roman" w:hAnsi="Times New Roman" w:cs="Times New Roman"/>
          <w:sz w:val="24"/>
        </w:rPr>
        <w:t xml:space="preserve"> the common health care acceptance rate was nineteen among 471 dermatologists surveyed. Our larger databases enclosed even fewer referrals to specialists following the initial AD-related visit. Among patients </w:t>
      </w:r>
      <w:r w:rsidR="00EE0CE8" w:rsidRPr="00477977">
        <w:rPr>
          <w:rFonts w:ascii="Times New Roman" w:hAnsi="Times New Roman" w:cs="Times New Roman"/>
          <w:sz w:val="24"/>
        </w:rPr>
        <w:t>abs</w:t>
      </w:r>
      <w:r w:rsidRPr="00477977">
        <w:rPr>
          <w:rFonts w:ascii="Times New Roman" w:hAnsi="Times New Roman" w:cs="Times New Roman"/>
          <w:sz w:val="24"/>
        </w:rPr>
        <w:t xml:space="preserve"> initio seen by a supplier kind classified as “other”, solely two of health care patients versus 12-tone system of economic patients had a ulterior visit with a specialist. </w:t>
      </w:r>
      <w:r w:rsidR="00EE0CE8" w:rsidRPr="00477977">
        <w:rPr>
          <w:rFonts w:ascii="Times New Roman" w:hAnsi="Times New Roman" w:cs="Times New Roman"/>
          <w:sz w:val="24"/>
        </w:rPr>
        <w:t>This</w:t>
      </w:r>
      <w:r w:rsidRPr="00477977">
        <w:rPr>
          <w:rFonts w:ascii="Times New Roman" w:hAnsi="Times New Roman" w:cs="Times New Roman"/>
          <w:sz w:val="24"/>
        </w:rPr>
        <w:t xml:space="preserve"> is often notably shocking given the considerably larger proportion of health care versus business patients with extracutaneous morbidities, suggesting a larger would like for subspecialty care during this cohort.</w:t>
      </w:r>
    </w:p>
    <w:p w:rsidR="00477977" w:rsidRDefault="00477977" w:rsidP="003067DC">
      <w:pPr>
        <w:rPr>
          <w:rFonts w:ascii="Times New Roman" w:hAnsi="Times New Roman" w:cs="Times New Roman"/>
          <w:b/>
          <w:sz w:val="36"/>
        </w:rPr>
      </w:pPr>
      <w:r>
        <w:rPr>
          <w:rFonts w:ascii="Times New Roman" w:hAnsi="Times New Roman" w:cs="Times New Roman"/>
          <w:b/>
          <w:sz w:val="36"/>
        </w:rPr>
        <w:t>Important of Research:</w:t>
      </w:r>
    </w:p>
    <w:p w:rsidR="00EE0CE8" w:rsidRDefault="00EE0CE8" w:rsidP="003067DC">
      <w:pPr>
        <w:rPr>
          <w:rFonts w:ascii="Times New Roman" w:hAnsi="Times New Roman" w:cs="Times New Roman"/>
          <w:sz w:val="24"/>
        </w:rPr>
      </w:pPr>
      <w:r w:rsidRPr="00EE0CE8">
        <w:rPr>
          <w:rFonts w:ascii="Times New Roman" w:hAnsi="Times New Roman" w:cs="Times New Roman"/>
          <w:sz w:val="24"/>
        </w:rPr>
        <w:t xml:space="preserve">Results from this claim information analysis examination 2 giant medicine AD cohorts, Medicaid- and commercially insured kids, indicate that AN overall minority of patients were seen by a specialist. Non-specialist suppliers saw a significantly bigger proportion of health care patients, compared with specialists, with dermatologists seeing the terribly smallest proportion. </w:t>
      </w:r>
      <w:r w:rsidRPr="00EE0CE8">
        <w:rPr>
          <w:rFonts w:ascii="Times New Roman" w:hAnsi="Times New Roman" w:cs="Times New Roman"/>
          <w:sz w:val="24"/>
        </w:rPr>
        <w:t>Consequently</w:t>
      </w:r>
      <w:r w:rsidRPr="00EE0CE8">
        <w:rPr>
          <w:rFonts w:ascii="Times New Roman" w:hAnsi="Times New Roman" w:cs="Times New Roman"/>
          <w:sz w:val="24"/>
        </w:rPr>
        <w:t xml:space="preserve">, it absolutely was not shocking that health care patients had a better reliance on dysfunction and pressing care centers, particularly for AD-related care, with a rate of dysfunction visits quite doubly as high for health care compared with industrial patients, lightness the importance of barriers to accessing patient and specialist care. Finally, antihistamines were prescribed quite 3 times a lot of usually to health care patients. </w:t>
      </w:r>
      <w:r w:rsidRPr="00EE0CE8">
        <w:rPr>
          <w:rFonts w:ascii="Times New Roman" w:hAnsi="Times New Roman" w:cs="Times New Roman"/>
          <w:sz w:val="24"/>
        </w:rPr>
        <w:t>There’s</w:t>
      </w:r>
      <w:r w:rsidRPr="00EE0CE8">
        <w:rPr>
          <w:rFonts w:ascii="Times New Roman" w:hAnsi="Times New Roman" w:cs="Times New Roman"/>
          <w:sz w:val="24"/>
        </w:rPr>
        <w:t xml:space="preserve"> presently no well-established standard-of-care or pediatric-specific guideline accepted by clinicians for AD, and treatment approaches vary greatly across Dr. </w:t>
      </w:r>
      <w:r w:rsidRPr="00EE0CE8">
        <w:rPr>
          <w:rFonts w:ascii="Times New Roman" w:hAnsi="Times New Roman" w:cs="Times New Roman"/>
          <w:sz w:val="24"/>
        </w:rPr>
        <w:t>Specialties</w:t>
      </w:r>
      <w:r w:rsidRPr="00EE0CE8">
        <w:rPr>
          <w:rFonts w:ascii="Times New Roman" w:hAnsi="Times New Roman" w:cs="Times New Roman"/>
          <w:sz w:val="24"/>
        </w:rPr>
        <w:t xml:space="preserve">. These variations area unit amplified by disparities in access to specialty care, intensifying the unmet treatment wants for youngsters with AD. A lot of consistent and combined approach is required to treat this chronic condition. </w:t>
      </w:r>
      <w:r w:rsidRPr="00EE0CE8">
        <w:rPr>
          <w:rFonts w:ascii="Times New Roman" w:hAnsi="Times New Roman" w:cs="Times New Roman"/>
          <w:sz w:val="24"/>
        </w:rPr>
        <w:t>Long</w:t>
      </w:r>
      <w:r w:rsidRPr="00EE0CE8">
        <w:rPr>
          <w:rFonts w:ascii="Times New Roman" w:hAnsi="Times New Roman" w:cs="Times New Roman"/>
          <w:sz w:val="24"/>
        </w:rPr>
        <w:t xml:space="preserve"> sickness management has the potential to alleviate the direct burden of AD and impede the chance of developing atopic and non-atopic comorbidities and, in turn, could facilitate cut back the use of care resources during this patient population.</w:t>
      </w:r>
    </w:p>
    <w:p w:rsidR="00EE0CE8" w:rsidRPr="006C133F" w:rsidRDefault="00EE0CE8" w:rsidP="003067DC">
      <w:pPr>
        <w:rPr>
          <w:rFonts w:ascii="Times New Roman" w:hAnsi="Times New Roman" w:cs="Times New Roman"/>
          <w:b/>
          <w:sz w:val="36"/>
        </w:rPr>
      </w:pPr>
      <w:r w:rsidRPr="00EE0CE8">
        <w:rPr>
          <w:rFonts w:ascii="Times New Roman" w:hAnsi="Times New Roman" w:cs="Times New Roman"/>
          <w:b/>
          <w:sz w:val="36"/>
        </w:rPr>
        <w:lastRenderedPageBreak/>
        <w:t>Biography:</w:t>
      </w:r>
    </w:p>
    <w:p w:rsidR="00FD3D4C" w:rsidRDefault="00FD3D4C" w:rsidP="003067DC">
      <w:pPr>
        <w:rPr>
          <w:rFonts w:ascii="Times New Roman" w:hAnsi="Times New Roman" w:cs="Times New Roman"/>
          <w:sz w:val="24"/>
        </w:rPr>
      </w:pPr>
      <w:r>
        <w:rPr>
          <w:noProof/>
        </w:rPr>
        <w:drawing>
          <wp:inline distT="0" distB="0" distL="0" distR="0" wp14:anchorId="41A03496" wp14:editId="3A0E33E9">
            <wp:extent cx="2743200" cy="1809750"/>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76482" cy="1831707"/>
                    </a:xfrm>
                    <a:prstGeom prst="rect">
                      <a:avLst/>
                    </a:prstGeom>
                    <a:noFill/>
                    <a:ln>
                      <a:noFill/>
                    </a:ln>
                  </pic:spPr>
                </pic:pic>
              </a:graphicData>
            </a:graphic>
          </wp:inline>
        </w:drawing>
      </w:r>
    </w:p>
    <w:p w:rsidR="003067DC" w:rsidRPr="003067DC" w:rsidRDefault="003067DC" w:rsidP="003067DC">
      <w:r>
        <w:rPr>
          <w:rFonts w:ascii="Times New Roman" w:hAnsi="Times New Roman" w:cs="Times New Roman"/>
          <w:sz w:val="24"/>
        </w:rPr>
        <w:t>Name:</w:t>
      </w:r>
      <w:r w:rsidRPr="003067DC">
        <w:rPr>
          <w:rFonts w:ascii="Times New Roman" w:hAnsi="Times New Roman" w:cs="Times New Roman"/>
          <w:sz w:val="24"/>
        </w:rPr>
        <w:t xml:space="preserve"> </w:t>
      </w:r>
      <w:r w:rsidRPr="006C133F">
        <w:rPr>
          <w:rFonts w:ascii="Times New Roman" w:hAnsi="Times New Roman" w:cs="Times New Roman"/>
          <w:sz w:val="24"/>
        </w:rPr>
        <w:t>Paola Mina-Osorio</w:t>
      </w:r>
      <w:r>
        <w:br/>
      </w:r>
      <w:r w:rsidR="00FD3D4C">
        <w:rPr>
          <w:rFonts w:ascii="Times New Roman" w:hAnsi="Times New Roman" w:cs="Times New Roman"/>
          <w:sz w:val="24"/>
        </w:rPr>
        <w:t xml:space="preserve">Email: </w:t>
      </w:r>
      <w:hyperlink r:id="rId7" w:history="1">
        <w:r w:rsidRPr="00186C0B">
          <w:rPr>
            <w:rStyle w:val="Hyperlink"/>
            <w:rFonts w:ascii="Times New Roman" w:hAnsi="Times New Roman" w:cs="Times New Roman"/>
            <w:sz w:val="24"/>
          </w:rPr>
          <w:t>pmo76@yahoo.com</w:t>
        </w:r>
      </w:hyperlink>
    </w:p>
    <w:p w:rsidR="006C133F" w:rsidRDefault="006C133F" w:rsidP="003067DC">
      <w:pPr>
        <w:jc w:val="both"/>
        <w:rPr>
          <w:rFonts w:ascii="Times New Roman" w:hAnsi="Times New Roman" w:cs="Times New Roman"/>
          <w:sz w:val="24"/>
        </w:rPr>
      </w:pPr>
      <w:r w:rsidRPr="006C133F">
        <w:rPr>
          <w:rFonts w:ascii="Times New Roman" w:hAnsi="Times New Roman" w:cs="Times New Roman"/>
          <w:sz w:val="24"/>
        </w:rPr>
        <w:t>Paola Mina-Osorio, Health Economics and Outcomes Research, Medical Affairs, Regeneron Pharmaceuticals, Inc., 777 Old Saw Mill River Road, Tarrytown, NY, 10591, USA. She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which is a methodology that utilizes the previous generations of evaluation: measurement, description and judgment. It allows for value-pluralism. This approach is responsive to all stakeholders and has a different way of focusing. MD, PhD with extensive experience in Immunology research in academic and industry settings. She have served in various capacities during my industry tenure including preclinical, field medical, and medical affairs in disease states such as atopic dermatitis, lupus, lupus nephritis, rheumatoid arthritis, psoriatic arthritis, and psoriasis. She is a results-oriented professional focused on clarity of goal setting, continuous process improvement to increase efficiency, and adding value through better execution with high standards. She is also a Vice President, Medical Affairs at Immunovant // Author, Hispanics in Medicine and science book series</w:t>
      </w:r>
      <w:r>
        <w:rPr>
          <w:rFonts w:ascii="Times New Roman" w:hAnsi="Times New Roman" w:cs="Times New Roman"/>
          <w:sz w:val="24"/>
        </w:rPr>
        <w:t>.</w:t>
      </w:r>
    </w:p>
    <w:p w:rsidR="006C133F" w:rsidRDefault="006C133F" w:rsidP="003067DC">
      <w:pPr>
        <w:rPr>
          <w:rFonts w:ascii="Times New Roman" w:hAnsi="Times New Roman" w:cs="Times New Roman"/>
          <w:b/>
          <w:sz w:val="36"/>
        </w:rPr>
      </w:pPr>
      <w:r w:rsidRPr="002A7DEB">
        <w:rPr>
          <w:rFonts w:ascii="Times New Roman" w:hAnsi="Times New Roman" w:cs="Times New Roman"/>
          <w:b/>
          <w:sz w:val="36"/>
        </w:rPr>
        <w:t>Information of Institute and Laboratory:</w:t>
      </w:r>
    </w:p>
    <w:p w:rsidR="003067DC" w:rsidRDefault="003067DC" w:rsidP="003067DC">
      <w:pPr>
        <w:rPr>
          <w:rFonts w:ascii="Times New Roman" w:hAnsi="Times New Roman" w:cs="Times New Roman"/>
          <w:b/>
          <w:sz w:val="36"/>
        </w:rPr>
      </w:pPr>
      <w:r w:rsidRPr="003067DC">
        <w:rPr>
          <w:rFonts w:ascii="Times New Roman" w:hAnsi="Times New Roman" w:cs="Times New Roman"/>
          <w:b/>
          <w:sz w:val="36"/>
        </w:rPr>
        <w:lastRenderedPageBreak/>
        <w:drawing>
          <wp:inline distT="0" distB="0" distL="0" distR="0" wp14:anchorId="4DEA4E2E" wp14:editId="30C62110">
            <wp:extent cx="3829050" cy="1724025"/>
            <wp:effectExtent l="0" t="0" r="0" b="9525"/>
            <wp:docPr id="2" name="Picture 2" descr="21 Days That Changed West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1 Days That Changed Westches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9050" cy="1724025"/>
                    </a:xfrm>
                    <a:prstGeom prst="rect">
                      <a:avLst/>
                    </a:prstGeom>
                    <a:noFill/>
                    <a:ln>
                      <a:noFill/>
                    </a:ln>
                  </pic:spPr>
                </pic:pic>
              </a:graphicData>
            </a:graphic>
          </wp:inline>
        </w:drawing>
      </w:r>
    </w:p>
    <w:p w:rsidR="00EC4876" w:rsidRPr="003067DC" w:rsidRDefault="00EC4876" w:rsidP="003067DC">
      <w:pPr>
        <w:rPr>
          <w:rFonts w:ascii="Times New Roman" w:hAnsi="Times New Roman" w:cs="Times New Roman"/>
          <w:b/>
          <w:sz w:val="36"/>
        </w:rPr>
      </w:pPr>
      <w:r w:rsidRPr="00BE29A9">
        <w:rPr>
          <w:rFonts w:ascii="Times New Roman" w:hAnsi="Times New Roman" w:cs="Times New Roman"/>
        </w:rPr>
        <w:t>For over 30 years, our mission has been to use the power of science to bring new medicines to patients over and over again.</w:t>
      </w:r>
    </w:p>
    <w:p w:rsidR="00EC4876" w:rsidRPr="00BE29A9" w:rsidRDefault="00EC4876" w:rsidP="003067DC">
      <w:pPr>
        <w:rPr>
          <w:rFonts w:ascii="Times New Roman" w:hAnsi="Times New Roman" w:cs="Times New Roman"/>
        </w:rPr>
      </w:pPr>
      <w:r w:rsidRPr="00BE29A9">
        <w:rPr>
          <w:rFonts w:ascii="Times New Roman" w:hAnsi="Times New Roman" w:cs="Times New Roman"/>
        </w:rPr>
        <w:t>Regeneron  (NASDAQ: REGN) is a leading biotechnology company that invents life-transforming medicines for people with serious diseases. Founded and led for over 30 years by physician-scientists, our unique ability to repeatedly and consistently translate science into medicine has led to nine FDA-approved treatments and numerous product candidates in development, nearly all of which were homegrown in our laboratories. Our medicines and pipeline are designed to help patients with eye diseases, allergic and inflammatory diseases, cancer, cardiovascular and metabolic diseases, pain, hematologic diseases, infectious diseases and rare diseases.</w:t>
      </w:r>
    </w:p>
    <w:p w:rsidR="00EC4876" w:rsidRPr="00BE29A9" w:rsidRDefault="00EC4876" w:rsidP="003067DC">
      <w:pPr>
        <w:rPr>
          <w:rFonts w:ascii="Times New Roman" w:hAnsi="Times New Roman" w:cs="Times New Roman"/>
        </w:rPr>
      </w:pPr>
      <w:r w:rsidRPr="00BE29A9">
        <w:rPr>
          <w:rFonts w:ascii="Times New Roman" w:hAnsi="Times New Roman" w:cs="Times New Roman"/>
        </w:rPr>
        <w:t>Regeneron is accelerating and improving the traditional drug development process through our proprietary VelociSuite technologies.</w:t>
      </w:r>
    </w:p>
    <w:p w:rsidR="00EC4876" w:rsidRPr="00BE29A9" w:rsidRDefault="00EC4876" w:rsidP="003067DC">
      <w:pPr>
        <w:rPr>
          <w:rFonts w:ascii="Times New Roman" w:hAnsi="Times New Roman" w:cs="Times New Roman"/>
        </w:rPr>
      </w:pPr>
      <w:r w:rsidRPr="00BE29A9">
        <w:rPr>
          <w:rFonts w:ascii="Times New Roman" w:hAnsi="Times New Roman" w:cs="Times New Roman"/>
        </w:rPr>
        <w:t>We are the only biopharma company founded and led by physician-scientists since the beginning, more than three decades ago. From our first days, science was and remains our central guiding principle. Our leadership includes multiple Nobel Laureates and five members of the National Academy of Sciences, and we are one of the first companies to form a Science and Technology Committee as an integral component of its Board, a practice which has since become industry standard.</w:t>
      </w:r>
    </w:p>
    <w:p w:rsidR="00EC4876" w:rsidRDefault="00EC4876" w:rsidP="003067DC">
      <w:pPr>
        <w:rPr>
          <w:rFonts w:ascii="Times New Roman" w:hAnsi="Times New Roman" w:cs="Times New Roman"/>
          <w:b/>
          <w:sz w:val="36"/>
        </w:rPr>
      </w:pPr>
      <w:r>
        <w:rPr>
          <w:rFonts w:ascii="Times New Roman" w:hAnsi="Times New Roman" w:cs="Times New Roman"/>
          <w:b/>
          <w:sz w:val="36"/>
        </w:rPr>
        <w:t>References:</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 Tschandl P, Rosendahl C, Kittler H, et al. Dermatoscopy of flat pigmented facial lesions. </w:t>
      </w:r>
      <w:r w:rsidRPr="00FD3D4C">
        <w:rPr>
          <w:rFonts w:ascii="Times New Roman" w:eastAsia="Times New Roman" w:hAnsi="Times New Roman" w:cs="Times New Roman"/>
          <w:i/>
          <w:iCs/>
          <w:color w:val="000000"/>
          <w:sz w:val="24"/>
          <w:szCs w:val="24"/>
        </w:rPr>
        <w:t>J Eur Acad Dermatol Venereol. </w:t>
      </w:r>
      <w:r w:rsidRPr="00FD3D4C">
        <w:rPr>
          <w:rFonts w:ascii="Times New Roman" w:eastAsia="Times New Roman" w:hAnsi="Times New Roman" w:cs="Times New Roman"/>
          <w:color w:val="000000"/>
          <w:sz w:val="24"/>
          <w:szCs w:val="24"/>
        </w:rPr>
        <w:t>2015;29:120–127. doi: 10.1111/jdv.12483.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2. Pellacani G, Longo C, Malvehy J, et al. In vivo confocal microscopic and histopathologic correlations of dermoscopic features in 202 melanocytic lesions.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2008;144:1597–1608. doi: 10.1001/archderm.144.12.1597.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3. Scope A, Benvenuto-Andrade C, Agero AL, et al. Correlation of dermoscopic structures of melanocytic lesions to reflectance confocal microscopy.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2007;143:176–185. doi: 10.1001/archderm.143.2.176.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4. Braga JC, Macedo MP, Pinto C, et al. Learning reflectance confocal microscopy of melanocytic skin lesions through histopathologic transversal sections. </w:t>
      </w:r>
      <w:r w:rsidRPr="00FD3D4C">
        <w:rPr>
          <w:rFonts w:ascii="Times New Roman" w:eastAsia="Times New Roman" w:hAnsi="Times New Roman" w:cs="Times New Roman"/>
          <w:i/>
          <w:iCs/>
          <w:color w:val="000000"/>
          <w:sz w:val="24"/>
          <w:szCs w:val="24"/>
        </w:rPr>
        <w:t>PLoS One. </w:t>
      </w:r>
      <w:r w:rsidRPr="00FD3D4C">
        <w:rPr>
          <w:rFonts w:ascii="Times New Roman" w:eastAsia="Times New Roman" w:hAnsi="Times New Roman" w:cs="Times New Roman"/>
          <w:color w:val="000000"/>
          <w:sz w:val="24"/>
          <w:szCs w:val="24"/>
        </w:rPr>
        <w:t>2013;8:e81205. doi: 10.1371/journal.pone.0081205.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lastRenderedPageBreak/>
        <w:t xml:space="preserve"> 5. Stevenson D, Mickan S, Mallet S, et al. Systematic review of diagnostic accuracy of reflectance confocal microscopy for melanoma diagnosis in patients with clinically equivocal skin lesions. </w:t>
      </w:r>
      <w:r w:rsidRPr="00FD3D4C">
        <w:rPr>
          <w:rFonts w:ascii="Times New Roman" w:eastAsia="Times New Roman" w:hAnsi="Times New Roman" w:cs="Times New Roman"/>
          <w:i/>
          <w:iCs/>
          <w:color w:val="000000"/>
          <w:sz w:val="24"/>
          <w:szCs w:val="24"/>
        </w:rPr>
        <w:t>Dermatol Pract Concept. </w:t>
      </w:r>
      <w:r w:rsidRPr="00FD3D4C">
        <w:rPr>
          <w:rFonts w:ascii="Times New Roman" w:eastAsia="Times New Roman" w:hAnsi="Times New Roman" w:cs="Times New Roman"/>
          <w:color w:val="000000"/>
          <w:sz w:val="24"/>
          <w:szCs w:val="24"/>
        </w:rPr>
        <w:t>2013;3(04):19–27. doi: 10.5826/dpc.0304a05.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6. Langley RGB, Walsh N, Sutherland AE, et al. The diagnostic accuracy of in vivo confocal scanning laser microscopy compared to dermoscopy of benign and malignant melanocytic lesions: a prospective study. </w:t>
      </w:r>
      <w:r w:rsidRPr="00FD3D4C">
        <w:rPr>
          <w:rFonts w:ascii="Times New Roman" w:eastAsia="Times New Roman" w:hAnsi="Times New Roman" w:cs="Times New Roman"/>
          <w:i/>
          <w:iCs/>
          <w:color w:val="000000"/>
          <w:sz w:val="24"/>
          <w:szCs w:val="24"/>
        </w:rPr>
        <w:t>Dermatology. </w:t>
      </w:r>
      <w:r w:rsidRPr="00FD3D4C">
        <w:rPr>
          <w:rFonts w:ascii="Times New Roman" w:eastAsia="Times New Roman" w:hAnsi="Times New Roman" w:cs="Times New Roman"/>
          <w:color w:val="000000"/>
          <w:sz w:val="24"/>
          <w:szCs w:val="24"/>
        </w:rPr>
        <w:t>2007;215:365–72. doi: 10.1159/000109087.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7. Borsari S, Pampena R, Benati E, et al. In vivo dermoscopic and confocal microscopy multistep algorithm to detect in situ melanomas. </w:t>
      </w:r>
      <w:r w:rsidRPr="00FD3D4C">
        <w:rPr>
          <w:rFonts w:ascii="Times New Roman" w:eastAsia="Times New Roman" w:hAnsi="Times New Roman" w:cs="Times New Roman"/>
          <w:i/>
          <w:iCs/>
          <w:color w:val="000000"/>
          <w:sz w:val="24"/>
          <w:szCs w:val="24"/>
        </w:rPr>
        <w:t>Br J Dermatol. </w:t>
      </w:r>
      <w:r w:rsidRPr="00FD3D4C">
        <w:rPr>
          <w:rFonts w:ascii="Times New Roman" w:eastAsia="Times New Roman" w:hAnsi="Times New Roman" w:cs="Times New Roman"/>
          <w:color w:val="000000"/>
          <w:sz w:val="24"/>
          <w:szCs w:val="24"/>
        </w:rPr>
        <w:t>2018;179:163–72. doi: 10.1111/bjd.16364.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8. Guitera P, pellacani G, Longo C, et al. In vivo reflectance confocal microscopy enhances secondary evaluation of melanocytic lesions.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2009;120:131–8. doi: 10.1038/jid.2008.193.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 9. Cinotti E, Labeille B, Debarbieux S, et al. Dermoscopy vs. Reflectance confocal microscopy for the diagnosis of lentigo maligna. </w:t>
      </w:r>
      <w:r w:rsidRPr="00FD3D4C">
        <w:rPr>
          <w:rFonts w:ascii="Times New Roman" w:eastAsia="Times New Roman" w:hAnsi="Times New Roman" w:cs="Times New Roman"/>
          <w:i/>
          <w:iCs/>
          <w:color w:val="000000"/>
          <w:sz w:val="24"/>
          <w:szCs w:val="24"/>
        </w:rPr>
        <w:t>J Eur Acad Dermatol Venereol. </w:t>
      </w:r>
      <w:r w:rsidRPr="00FD3D4C">
        <w:rPr>
          <w:rFonts w:ascii="Times New Roman" w:eastAsia="Times New Roman" w:hAnsi="Times New Roman" w:cs="Times New Roman"/>
          <w:color w:val="000000"/>
          <w:sz w:val="24"/>
          <w:szCs w:val="24"/>
        </w:rPr>
        <w:t>2018;32(8):1284–1921.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10. Pellacani G, Guitera P, Longo C, et al. The impact of in vivo reflectance confocal microscopy for the diagnostic accuracy of melanoma and equivocal melanocytic lesions.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2007;127(12):2759–65. doi: 10.1038/sj.jid.5700993</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11. Pellacani G, Pepe P, Casari A, et al. Reflectance confocal microscopy as a second-level examination in skin oncology improves diagnostic accuracy and saves unnecessary excisions: a longitudinal prospective study. </w:t>
      </w:r>
      <w:r w:rsidRPr="00FD3D4C">
        <w:rPr>
          <w:rFonts w:ascii="Times New Roman" w:eastAsia="Times New Roman" w:hAnsi="Times New Roman" w:cs="Times New Roman"/>
          <w:i/>
          <w:iCs/>
          <w:color w:val="000000"/>
          <w:sz w:val="24"/>
          <w:szCs w:val="24"/>
        </w:rPr>
        <w:t>Br J Dermatol. </w:t>
      </w:r>
      <w:r w:rsidRPr="00FD3D4C">
        <w:rPr>
          <w:rFonts w:ascii="Times New Roman" w:eastAsia="Times New Roman" w:hAnsi="Times New Roman" w:cs="Times New Roman"/>
          <w:color w:val="000000"/>
          <w:sz w:val="24"/>
          <w:szCs w:val="24"/>
        </w:rPr>
        <w:t>2014;171:1044–1051. doi: 10.1111/bjd.13148.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12. Menge TD, Hibler BP, Cordova MA, et al. Concordance of handheld reflectance confocal microscopy (RCM) with histopathology in the diagnosis of lentigo maligna (LM): A prospective study. </w:t>
      </w:r>
      <w:r w:rsidRPr="00FD3D4C">
        <w:rPr>
          <w:rFonts w:ascii="Times New Roman" w:eastAsia="Times New Roman" w:hAnsi="Times New Roman" w:cs="Times New Roman"/>
          <w:i/>
          <w:iCs/>
          <w:color w:val="000000"/>
          <w:sz w:val="24"/>
          <w:szCs w:val="24"/>
        </w:rPr>
        <w:t>J Am Acad Dermatol. </w:t>
      </w:r>
      <w:r w:rsidRPr="00FD3D4C">
        <w:rPr>
          <w:rFonts w:ascii="Times New Roman" w:eastAsia="Times New Roman" w:hAnsi="Times New Roman" w:cs="Times New Roman"/>
          <w:color w:val="000000"/>
          <w:sz w:val="24"/>
          <w:szCs w:val="24"/>
        </w:rPr>
        <w:t>2016;74:1114–1120. doi: 10.1016/j.jaad.2015.12.045.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13. Guitera P, Menzies SW, Longo C, et al. In vivo confocal microscopy for diagnosis of melanoma and basal cell carcinoma using a two-step method: analysis of 710 consecutive clinically equivocal cases.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2012;132(10):2386–2394. doi: 10.1038/jid.2012.172. </w:t>
      </w:r>
    </w:p>
    <w:p w:rsidR="00FD3D4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14. Alarcon I, Carrera C, Palou J, et al. Impact of in vivo reflectance confocal microscopy on the number needed to treat melanoma in doubtful lesions. </w:t>
      </w:r>
      <w:r w:rsidRPr="00FD3D4C">
        <w:rPr>
          <w:rFonts w:ascii="Times New Roman" w:eastAsia="Times New Roman" w:hAnsi="Times New Roman" w:cs="Times New Roman"/>
          <w:i/>
          <w:iCs/>
          <w:color w:val="000000"/>
          <w:sz w:val="24"/>
          <w:szCs w:val="24"/>
        </w:rPr>
        <w:t>Br J Dermatol. </w:t>
      </w:r>
      <w:r w:rsidRPr="00FD3D4C">
        <w:rPr>
          <w:rFonts w:ascii="Times New Roman" w:eastAsia="Times New Roman" w:hAnsi="Times New Roman" w:cs="Times New Roman"/>
          <w:color w:val="000000"/>
          <w:sz w:val="24"/>
          <w:szCs w:val="24"/>
        </w:rPr>
        <w:t>2014;170:802–8. doi: 10.1111/bjd.12678. </w:t>
      </w:r>
    </w:p>
    <w:p w:rsidR="00FD3D4C" w:rsidRPr="003067DC" w:rsidRDefault="00FD3D4C" w:rsidP="003067DC">
      <w:pPr>
        <w:shd w:val="clear" w:color="auto" w:fill="FFFFFF"/>
        <w:spacing w:after="166" w:line="240" w:lineRule="auto"/>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15. Witkowski AM, Qudzik J, Arginelli F, et al. Improving diagnostic sensitivity of combined dermoscopy and reflectance confocal microscopy imaging through double reader concordance evaluation in telemedicine settings: a retrospective study of 1000 equivocal cases. </w:t>
      </w:r>
      <w:r w:rsidRPr="00FD3D4C">
        <w:rPr>
          <w:rFonts w:ascii="Times New Roman" w:eastAsia="Times New Roman" w:hAnsi="Times New Roman" w:cs="Times New Roman"/>
          <w:i/>
          <w:iCs/>
          <w:color w:val="000000"/>
          <w:sz w:val="24"/>
          <w:szCs w:val="24"/>
        </w:rPr>
        <w:t>PLoS One. </w:t>
      </w:r>
      <w:r w:rsidRPr="00FD3D4C">
        <w:rPr>
          <w:rFonts w:ascii="Times New Roman" w:eastAsia="Times New Roman" w:hAnsi="Times New Roman" w:cs="Times New Roman"/>
          <w:color w:val="000000"/>
          <w:sz w:val="24"/>
          <w:szCs w:val="24"/>
        </w:rPr>
        <w:t xml:space="preserve">2017;12:0187748. </w:t>
      </w:r>
      <w:proofErr w:type="gramStart"/>
      <w:r w:rsidRPr="00FD3D4C">
        <w:rPr>
          <w:rFonts w:ascii="Times New Roman" w:eastAsia="Times New Roman" w:hAnsi="Times New Roman" w:cs="Times New Roman"/>
          <w:color w:val="000000"/>
          <w:sz w:val="24"/>
          <w:szCs w:val="24"/>
        </w:rPr>
        <w:t>doi</w:t>
      </w:r>
      <w:proofErr w:type="gramEnd"/>
      <w:r w:rsidRPr="00FD3D4C">
        <w:rPr>
          <w:rFonts w:ascii="Times New Roman" w:eastAsia="Times New Roman" w:hAnsi="Times New Roman" w:cs="Times New Roman"/>
          <w:color w:val="000000"/>
          <w:sz w:val="24"/>
          <w:szCs w:val="24"/>
        </w:rPr>
        <w:t>: 10.1371/journal.pone.0187748. </w:t>
      </w:r>
    </w:p>
    <w:sectPr w:rsidR="00FD3D4C" w:rsidRPr="00306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74D59"/>
    <w:multiLevelType w:val="multilevel"/>
    <w:tmpl w:val="06F8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6C2"/>
    <w:rsid w:val="003067DC"/>
    <w:rsid w:val="003710AC"/>
    <w:rsid w:val="00477977"/>
    <w:rsid w:val="005816C2"/>
    <w:rsid w:val="006A3AFF"/>
    <w:rsid w:val="006C133F"/>
    <w:rsid w:val="007F396B"/>
    <w:rsid w:val="0092303B"/>
    <w:rsid w:val="00EC4876"/>
    <w:rsid w:val="00EE0CE8"/>
    <w:rsid w:val="00FD3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3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 w:type="character" w:customStyle="1" w:styleId="Heading1Char">
    <w:name w:val="Heading 1 Char"/>
    <w:basedOn w:val="DefaultParagraphFont"/>
    <w:link w:val="Heading1"/>
    <w:uiPriority w:val="9"/>
    <w:rsid w:val="0092303B"/>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3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 w:type="character" w:customStyle="1" w:styleId="Heading1Char">
    <w:name w:val="Heading 1 Char"/>
    <w:basedOn w:val="DefaultParagraphFont"/>
    <w:link w:val="Heading1"/>
    <w:uiPriority w:val="9"/>
    <w:rsid w:val="0092303B"/>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1922">
      <w:bodyDiv w:val="1"/>
      <w:marLeft w:val="0"/>
      <w:marRight w:val="0"/>
      <w:marTop w:val="0"/>
      <w:marBottom w:val="0"/>
      <w:divBdr>
        <w:top w:val="none" w:sz="0" w:space="0" w:color="auto"/>
        <w:left w:val="none" w:sz="0" w:space="0" w:color="auto"/>
        <w:bottom w:val="none" w:sz="0" w:space="0" w:color="auto"/>
        <w:right w:val="none" w:sz="0" w:space="0" w:color="auto"/>
      </w:divBdr>
    </w:div>
    <w:div w:id="1291595921">
      <w:bodyDiv w:val="1"/>
      <w:marLeft w:val="0"/>
      <w:marRight w:val="0"/>
      <w:marTop w:val="0"/>
      <w:marBottom w:val="0"/>
      <w:divBdr>
        <w:top w:val="none" w:sz="0" w:space="0" w:color="auto"/>
        <w:left w:val="none" w:sz="0" w:space="0" w:color="auto"/>
        <w:bottom w:val="none" w:sz="0" w:space="0" w:color="auto"/>
        <w:right w:val="none" w:sz="0" w:space="0" w:color="auto"/>
      </w:divBdr>
    </w:div>
    <w:div w:id="1353801848">
      <w:bodyDiv w:val="1"/>
      <w:marLeft w:val="0"/>
      <w:marRight w:val="0"/>
      <w:marTop w:val="0"/>
      <w:marBottom w:val="0"/>
      <w:divBdr>
        <w:top w:val="none" w:sz="0" w:space="0" w:color="auto"/>
        <w:left w:val="none" w:sz="0" w:space="0" w:color="auto"/>
        <w:bottom w:val="none" w:sz="0" w:space="0" w:color="auto"/>
        <w:right w:val="none" w:sz="0" w:space="0" w:color="auto"/>
      </w:divBdr>
    </w:div>
    <w:div w:id="1464930974">
      <w:bodyDiv w:val="1"/>
      <w:marLeft w:val="0"/>
      <w:marRight w:val="0"/>
      <w:marTop w:val="0"/>
      <w:marBottom w:val="0"/>
      <w:divBdr>
        <w:top w:val="none" w:sz="0" w:space="0" w:color="auto"/>
        <w:left w:val="none" w:sz="0" w:space="0" w:color="auto"/>
        <w:bottom w:val="none" w:sz="0" w:space="0" w:color="auto"/>
        <w:right w:val="none" w:sz="0" w:space="0" w:color="auto"/>
      </w:divBdr>
      <w:divsChild>
        <w:div w:id="397478532">
          <w:marLeft w:val="0"/>
          <w:marRight w:val="0"/>
          <w:marTop w:val="166"/>
          <w:marBottom w:val="166"/>
          <w:divBdr>
            <w:top w:val="none" w:sz="0" w:space="0" w:color="auto"/>
            <w:left w:val="none" w:sz="0" w:space="0" w:color="auto"/>
            <w:bottom w:val="none" w:sz="0" w:space="0" w:color="auto"/>
            <w:right w:val="none" w:sz="0" w:space="0" w:color="auto"/>
          </w:divBdr>
        </w:div>
        <w:div w:id="1956446272">
          <w:marLeft w:val="0"/>
          <w:marRight w:val="0"/>
          <w:marTop w:val="166"/>
          <w:marBottom w:val="166"/>
          <w:divBdr>
            <w:top w:val="none" w:sz="0" w:space="0" w:color="auto"/>
            <w:left w:val="none" w:sz="0" w:space="0" w:color="auto"/>
            <w:bottom w:val="none" w:sz="0" w:space="0" w:color="auto"/>
            <w:right w:val="none" w:sz="0" w:space="0" w:color="auto"/>
          </w:divBdr>
        </w:div>
        <w:div w:id="214779577">
          <w:marLeft w:val="0"/>
          <w:marRight w:val="0"/>
          <w:marTop w:val="166"/>
          <w:marBottom w:val="166"/>
          <w:divBdr>
            <w:top w:val="none" w:sz="0" w:space="0" w:color="auto"/>
            <w:left w:val="none" w:sz="0" w:space="0" w:color="auto"/>
            <w:bottom w:val="none" w:sz="0" w:space="0" w:color="auto"/>
            <w:right w:val="none" w:sz="0" w:space="0" w:color="auto"/>
          </w:divBdr>
        </w:div>
        <w:div w:id="869758764">
          <w:marLeft w:val="0"/>
          <w:marRight w:val="0"/>
          <w:marTop w:val="166"/>
          <w:marBottom w:val="166"/>
          <w:divBdr>
            <w:top w:val="none" w:sz="0" w:space="0" w:color="auto"/>
            <w:left w:val="none" w:sz="0" w:space="0" w:color="auto"/>
            <w:bottom w:val="none" w:sz="0" w:space="0" w:color="auto"/>
            <w:right w:val="none" w:sz="0" w:space="0" w:color="auto"/>
          </w:divBdr>
        </w:div>
        <w:div w:id="243420225">
          <w:marLeft w:val="0"/>
          <w:marRight w:val="0"/>
          <w:marTop w:val="166"/>
          <w:marBottom w:val="166"/>
          <w:divBdr>
            <w:top w:val="none" w:sz="0" w:space="0" w:color="auto"/>
            <w:left w:val="none" w:sz="0" w:space="0" w:color="auto"/>
            <w:bottom w:val="none" w:sz="0" w:space="0" w:color="auto"/>
            <w:right w:val="none" w:sz="0" w:space="0" w:color="auto"/>
          </w:divBdr>
        </w:div>
        <w:div w:id="115760920">
          <w:marLeft w:val="0"/>
          <w:marRight w:val="0"/>
          <w:marTop w:val="166"/>
          <w:marBottom w:val="166"/>
          <w:divBdr>
            <w:top w:val="none" w:sz="0" w:space="0" w:color="auto"/>
            <w:left w:val="none" w:sz="0" w:space="0" w:color="auto"/>
            <w:bottom w:val="none" w:sz="0" w:space="0" w:color="auto"/>
            <w:right w:val="none" w:sz="0" w:space="0" w:color="auto"/>
          </w:divBdr>
        </w:div>
        <w:div w:id="867377040">
          <w:marLeft w:val="0"/>
          <w:marRight w:val="0"/>
          <w:marTop w:val="166"/>
          <w:marBottom w:val="166"/>
          <w:divBdr>
            <w:top w:val="none" w:sz="0" w:space="0" w:color="auto"/>
            <w:left w:val="none" w:sz="0" w:space="0" w:color="auto"/>
            <w:bottom w:val="none" w:sz="0" w:space="0" w:color="auto"/>
            <w:right w:val="none" w:sz="0" w:space="0" w:color="auto"/>
          </w:divBdr>
        </w:div>
        <w:div w:id="1731229781">
          <w:marLeft w:val="0"/>
          <w:marRight w:val="0"/>
          <w:marTop w:val="166"/>
          <w:marBottom w:val="166"/>
          <w:divBdr>
            <w:top w:val="none" w:sz="0" w:space="0" w:color="auto"/>
            <w:left w:val="none" w:sz="0" w:space="0" w:color="auto"/>
            <w:bottom w:val="none" w:sz="0" w:space="0" w:color="auto"/>
            <w:right w:val="none" w:sz="0" w:space="0" w:color="auto"/>
          </w:divBdr>
        </w:div>
        <w:div w:id="305090251">
          <w:marLeft w:val="0"/>
          <w:marRight w:val="0"/>
          <w:marTop w:val="166"/>
          <w:marBottom w:val="166"/>
          <w:divBdr>
            <w:top w:val="none" w:sz="0" w:space="0" w:color="auto"/>
            <w:left w:val="none" w:sz="0" w:space="0" w:color="auto"/>
            <w:bottom w:val="none" w:sz="0" w:space="0" w:color="auto"/>
            <w:right w:val="none" w:sz="0" w:space="0" w:color="auto"/>
          </w:divBdr>
        </w:div>
        <w:div w:id="1463616358">
          <w:marLeft w:val="0"/>
          <w:marRight w:val="0"/>
          <w:marTop w:val="166"/>
          <w:marBottom w:val="166"/>
          <w:divBdr>
            <w:top w:val="none" w:sz="0" w:space="0" w:color="auto"/>
            <w:left w:val="none" w:sz="0" w:space="0" w:color="auto"/>
            <w:bottom w:val="none" w:sz="0" w:space="0" w:color="auto"/>
            <w:right w:val="none" w:sz="0" w:space="0" w:color="auto"/>
          </w:divBdr>
        </w:div>
        <w:div w:id="1728186220">
          <w:marLeft w:val="0"/>
          <w:marRight w:val="0"/>
          <w:marTop w:val="166"/>
          <w:marBottom w:val="166"/>
          <w:divBdr>
            <w:top w:val="none" w:sz="0" w:space="0" w:color="auto"/>
            <w:left w:val="none" w:sz="0" w:space="0" w:color="auto"/>
            <w:bottom w:val="none" w:sz="0" w:space="0" w:color="auto"/>
            <w:right w:val="none" w:sz="0" w:space="0" w:color="auto"/>
          </w:divBdr>
        </w:div>
        <w:div w:id="1344089609">
          <w:marLeft w:val="0"/>
          <w:marRight w:val="0"/>
          <w:marTop w:val="166"/>
          <w:marBottom w:val="166"/>
          <w:divBdr>
            <w:top w:val="none" w:sz="0" w:space="0" w:color="auto"/>
            <w:left w:val="none" w:sz="0" w:space="0" w:color="auto"/>
            <w:bottom w:val="none" w:sz="0" w:space="0" w:color="auto"/>
            <w:right w:val="none" w:sz="0" w:space="0" w:color="auto"/>
          </w:divBdr>
        </w:div>
        <w:div w:id="739517793">
          <w:marLeft w:val="0"/>
          <w:marRight w:val="0"/>
          <w:marTop w:val="166"/>
          <w:marBottom w:val="166"/>
          <w:divBdr>
            <w:top w:val="none" w:sz="0" w:space="0" w:color="auto"/>
            <w:left w:val="none" w:sz="0" w:space="0" w:color="auto"/>
            <w:bottom w:val="none" w:sz="0" w:space="0" w:color="auto"/>
            <w:right w:val="none" w:sz="0" w:space="0" w:color="auto"/>
          </w:divBdr>
        </w:div>
        <w:div w:id="429399273">
          <w:marLeft w:val="0"/>
          <w:marRight w:val="0"/>
          <w:marTop w:val="166"/>
          <w:marBottom w:val="166"/>
          <w:divBdr>
            <w:top w:val="none" w:sz="0" w:space="0" w:color="auto"/>
            <w:left w:val="none" w:sz="0" w:space="0" w:color="auto"/>
            <w:bottom w:val="none" w:sz="0" w:space="0" w:color="auto"/>
            <w:right w:val="none" w:sz="0" w:space="0" w:color="auto"/>
          </w:divBdr>
        </w:div>
        <w:div w:id="510412023">
          <w:marLeft w:val="0"/>
          <w:marRight w:val="0"/>
          <w:marTop w:val="166"/>
          <w:marBottom w:val="16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mailto:pmo76@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1861</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2022-01-27T03:10:00Z</dcterms:created>
  <dcterms:modified xsi:type="dcterms:W3CDTF">2022-01-27T05:41:00Z</dcterms:modified>
</cp:coreProperties>
</file>