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C4E45" w14:textId="22CBBB25" w:rsidR="00D54ED3" w:rsidRDefault="00D03A95">
      <w:bookmarkStart w:id="0" w:name="_GoBack"/>
      <w:r w:rsidRPr="00D03A95">
        <w:rPr>
          <w:noProof/>
        </w:rPr>
        <w:drawing>
          <wp:inline distT="0" distB="0" distL="0" distR="0" wp14:anchorId="588CE201" wp14:editId="17408F72">
            <wp:extent cx="2280920" cy="2320925"/>
            <wp:effectExtent l="0" t="0" r="508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4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95"/>
    <w:rsid w:val="00D03A95"/>
    <w:rsid w:val="00D5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C99E1"/>
  <w15:chartTrackingRefBased/>
  <w15:docId w15:val="{137E2ED2-E0AE-42DB-ACDB-1563F35C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Glycobiology Congress 2018</dc:creator>
  <cp:keywords/>
  <dc:description/>
  <cp:lastModifiedBy>Apme Glycobiology Congress 2018</cp:lastModifiedBy>
  <cp:revision>1</cp:revision>
  <dcterms:created xsi:type="dcterms:W3CDTF">2018-01-16T04:39:00Z</dcterms:created>
  <dcterms:modified xsi:type="dcterms:W3CDTF">2018-01-16T04:39:00Z</dcterms:modified>
</cp:coreProperties>
</file>