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0BC0" w:rsidRDefault="00727CC1">
      <w:r>
        <w:rPr>
          <w:noProof/>
          <w:lang w:eastAsia="en-IN"/>
        </w:rPr>
        <w:drawing>
          <wp:inline distT="0" distB="0" distL="0" distR="0" wp14:anchorId="20A86118" wp14:editId="76A1AC8F">
            <wp:extent cx="1177925" cy="1485265"/>
            <wp:effectExtent l="0" t="0" r="3175" b="63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7925" cy="1485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00BC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6513"/>
    <w:rsid w:val="00656513"/>
    <w:rsid w:val="00727CC1"/>
    <w:rsid w:val="007A0537"/>
    <w:rsid w:val="007D7A5E"/>
    <w:rsid w:val="00BC34B2"/>
    <w:rsid w:val="00DE6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27C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7CC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27C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7CC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Global Toxicology-2018</dc:creator>
  <cp:lastModifiedBy>Global Toxicology-2018</cp:lastModifiedBy>
  <cp:revision>9</cp:revision>
  <cp:lastPrinted>2018-10-18T08:25:00Z</cp:lastPrinted>
  <dcterms:created xsi:type="dcterms:W3CDTF">2018-10-18T08:22:00Z</dcterms:created>
  <dcterms:modified xsi:type="dcterms:W3CDTF">2018-10-18T08:25:00Z</dcterms:modified>
</cp:coreProperties>
</file>