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7E4DFA5" w14:textId="77777777" w:rsidR="00BC2B17" w:rsidRDefault="00BC2B17" w:rsidP="00BC2B17">
      <w:pPr>
        <w:pStyle w:val="BodyText"/>
        <w:jc w:val="center"/>
        <w:rPr>
          <w:b/>
          <w:bCs/>
          <w:color w:val="000000" w:themeColor="text1"/>
          <w:sz w:val="28"/>
          <w:szCs w:val="28"/>
        </w:rPr>
      </w:pPr>
      <w:r w:rsidRPr="00BB70FB">
        <w:rPr>
          <w:b/>
          <w:bCs/>
          <w:color w:val="000000" w:themeColor="text1"/>
          <w:sz w:val="28"/>
          <w:szCs w:val="28"/>
        </w:rPr>
        <w:t>Sensitivity of</w:t>
      </w:r>
      <w:r w:rsidRPr="00BB70FB">
        <w:rPr>
          <w:b/>
          <w:bCs/>
          <w:i/>
          <w:iCs/>
          <w:color w:val="000000" w:themeColor="text1"/>
          <w:sz w:val="28"/>
          <w:szCs w:val="28"/>
        </w:rPr>
        <w:t xml:space="preserve"> Botrytis cinerea</w:t>
      </w:r>
      <w:r w:rsidRPr="00BB70FB">
        <w:rPr>
          <w:b/>
          <w:bCs/>
          <w:color w:val="000000" w:themeColor="text1"/>
          <w:sz w:val="28"/>
          <w:szCs w:val="28"/>
        </w:rPr>
        <w:t xml:space="preserve"> Isolates Infected Grape </w:t>
      </w:r>
    </w:p>
    <w:p w14:paraId="5264AA69" w14:textId="77777777" w:rsidR="00BC2B17" w:rsidRPr="00BB70FB" w:rsidRDefault="00BC2B17" w:rsidP="00BC2B17">
      <w:pPr>
        <w:pStyle w:val="BodyText"/>
        <w:ind w:left="-142" w:right="-194"/>
        <w:jc w:val="center"/>
        <w:rPr>
          <w:b/>
          <w:bCs/>
          <w:color w:val="000000" w:themeColor="text1"/>
          <w:sz w:val="28"/>
          <w:szCs w:val="28"/>
        </w:rPr>
      </w:pPr>
      <w:r w:rsidRPr="00BB70FB">
        <w:rPr>
          <w:b/>
          <w:bCs/>
          <w:color w:val="000000" w:themeColor="text1"/>
          <w:sz w:val="28"/>
          <w:szCs w:val="28"/>
        </w:rPr>
        <w:t>and Strawberry to Fenhexamid</w:t>
      </w:r>
    </w:p>
    <w:p w14:paraId="7AEA6671" w14:textId="77777777" w:rsidR="00BC2B17" w:rsidRDefault="00BC2B17" w:rsidP="00BC2B17">
      <w:pPr>
        <w:pStyle w:val="BodyText"/>
        <w:jc w:val="center"/>
        <w:rPr>
          <w:b/>
          <w:bCs/>
          <w:color w:val="000000" w:themeColor="text1"/>
        </w:rPr>
      </w:pPr>
    </w:p>
    <w:p w14:paraId="0D68F743" w14:textId="77777777" w:rsidR="00BC2B17" w:rsidRPr="00BC2B17" w:rsidRDefault="00BC2B17" w:rsidP="00BC2B17">
      <w:pPr>
        <w:pStyle w:val="BodyText"/>
        <w:rPr>
          <w:color w:val="000000" w:themeColor="text1"/>
          <w:sz w:val="10"/>
          <w:szCs w:val="10"/>
          <w:vertAlign w:val="superscript"/>
        </w:rPr>
      </w:pPr>
    </w:p>
    <w:p w14:paraId="0EE282B6" w14:textId="77777777" w:rsidR="00BC2B17" w:rsidRDefault="00BC2B17" w:rsidP="00BC2B17">
      <w:pPr>
        <w:pStyle w:val="BodyText"/>
        <w:rPr>
          <w:color w:val="000000" w:themeColor="text1"/>
        </w:rPr>
      </w:pPr>
      <w:r w:rsidRPr="00CE661B"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 xml:space="preserve">Gaber, M. A., </w:t>
      </w:r>
      <w:r w:rsidRPr="00CE661B"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>Shehata,</w:t>
      </w:r>
      <w:r w:rsidRPr="00137D62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M. R.A., </w:t>
      </w:r>
      <w:r w:rsidRPr="00CE661B"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>Fahmy,</w:t>
      </w:r>
      <w:r w:rsidRPr="003079D9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M. M., </w:t>
      </w:r>
      <w:r w:rsidRPr="00CE661B">
        <w:rPr>
          <w:color w:val="000000" w:themeColor="text1"/>
          <w:vertAlign w:val="superscript"/>
        </w:rPr>
        <w:t>1</w:t>
      </w:r>
      <w:r>
        <w:rPr>
          <w:color w:val="000000" w:themeColor="text1"/>
        </w:rPr>
        <w:t xml:space="preserve">Wagih, E. E. and </w:t>
      </w:r>
      <w:r w:rsidRPr="00CE661B">
        <w:rPr>
          <w:color w:val="000000" w:themeColor="text1"/>
          <w:vertAlign w:val="superscript"/>
        </w:rPr>
        <w:t>2*</w:t>
      </w:r>
      <w:r>
        <w:rPr>
          <w:color w:val="000000" w:themeColor="text1"/>
        </w:rPr>
        <w:t>Abdel-Wahab,</w:t>
      </w:r>
      <w:r w:rsidRPr="00523273">
        <w:rPr>
          <w:color w:val="000000" w:themeColor="text1"/>
        </w:rPr>
        <w:t xml:space="preserve"> </w:t>
      </w:r>
      <w:r>
        <w:rPr>
          <w:color w:val="000000" w:themeColor="text1"/>
        </w:rPr>
        <w:t>H.</w:t>
      </w:r>
    </w:p>
    <w:p w14:paraId="22BD2A87" w14:textId="77777777" w:rsidR="00BC2B17" w:rsidRDefault="00BC2B17" w:rsidP="00BC2B17">
      <w:pPr>
        <w:pStyle w:val="BodyText"/>
        <w:rPr>
          <w:color w:val="000000" w:themeColor="text1"/>
        </w:rPr>
      </w:pPr>
    </w:p>
    <w:p w14:paraId="4E154F8A" w14:textId="77777777" w:rsidR="00BC2B17" w:rsidRPr="00A82D89" w:rsidRDefault="00BC2B17" w:rsidP="00BC2B17">
      <w:pPr>
        <w:ind w:left="142" w:hanging="142"/>
        <w:jc w:val="both"/>
        <w:rPr>
          <w:sz w:val="20"/>
          <w:szCs w:val="20"/>
          <w:rtl/>
        </w:rPr>
      </w:pPr>
      <w:r>
        <w:rPr>
          <w:sz w:val="20"/>
          <w:szCs w:val="20"/>
          <w:vertAlign w:val="superscript"/>
        </w:rPr>
        <w:t>1</w:t>
      </w:r>
      <w:r w:rsidRPr="00A82D89">
        <w:rPr>
          <w:sz w:val="20"/>
          <w:szCs w:val="20"/>
        </w:rPr>
        <w:t xml:space="preserve">Department of Plant Pathology, Faculty of Agriculture, </w:t>
      </w:r>
      <w:r>
        <w:rPr>
          <w:sz w:val="20"/>
          <w:szCs w:val="20"/>
        </w:rPr>
        <w:t>Alexandria</w:t>
      </w:r>
      <w:r w:rsidRPr="00A82D89">
        <w:rPr>
          <w:sz w:val="20"/>
          <w:szCs w:val="20"/>
        </w:rPr>
        <w:t xml:space="preserve"> University, </w:t>
      </w:r>
      <w:r>
        <w:rPr>
          <w:sz w:val="20"/>
          <w:szCs w:val="20"/>
        </w:rPr>
        <w:t>Shatby</w:t>
      </w:r>
      <w:r w:rsidRPr="00A82D89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Alexandria, </w:t>
      </w:r>
      <w:r w:rsidRPr="00A82D89">
        <w:rPr>
          <w:sz w:val="20"/>
          <w:szCs w:val="20"/>
        </w:rPr>
        <w:t>Egypt</w:t>
      </w:r>
    </w:p>
    <w:p w14:paraId="22993A73" w14:textId="77777777" w:rsidR="00BC2B17" w:rsidRPr="00AA7213" w:rsidRDefault="00BC2B17" w:rsidP="00BC2B17">
      <w:pPr>
        <w:rPr>
          <w:sz w:val="20"/>
          <w:szCs w:val="20"/>
        </w:rPr>
      </w:pPr>
    </w:p>
    <w:p w14:paraId="6B641508" w14:textId="77777777" w:rsidR="00BC2B17" w:rsidRPr="00A82D89" w:rsidRDefault="00BC2B17" w:rsidP="00BC2B17">
      <w:pPr>
        <w:ind w:left="142" w:hanging="142"/>
        <w:jc w:val="both"/>
        <w:rPr>
          <w:sz w:val="20"/>
          <w:szCs w:val="20"/>
          <w:rtl/>
        </w:rPr>
      </w:pPr>
      <w:r>
        <w:rPr>
          <w:sz w:val="20"/>
          <w:szCs w:val="20"/>
          <w:vertAlign w:val="superscript"/>
        </w:rPr>
        <w:t>2</w:t>
      </w:r>
      <w:r w:rsidRPr="00A82D89">
        <w:rPr>
          <w:sz w:val="20"/>
          <w:szCs w:val="20"/>
        </w:rPr>
        <w:t>Laboratory</w:t>
      </w:r>
      <w:r>
        <w:rPr>
          <w:sz w:val="20"/>
          <w:szCs w:val="20"/>
        </w:rPr>
        <w:t xml:space="preserve"> of</w:t>
      </w:r>
      <w:r>
        <w:rPr>
          <w:sz w:val="20"/>
          <w:szCs w:val="20"/>
          <w:vertAlign w:val="superscript"/>
        </w:rPr>
        <w:t xml:space="preserve"> </w:t>
      </w:r>
      <w:r w:rsidRPr="00A82D89">
        <w:rPr>
          <w:sz w:val="20"/>
          <w:szCs w:val="20"/>
        </w:rPr>
        <w:t>Molecular Diagnostic of Plant Diseases, Department of Plant Pat</w:t>
      </w:r>
      <w:r>
        <w:rPr>
          <w:sz w:val="20"/>
          <w:szCs w:val="20"/>
        </w:rPr>
        <w:t xml:space="preserve">hology, Faculty of Agriculture, Ain Shams </w:t>
      </w:r>
      <w:r w:rsidRPr="00A82D89">
        <w:rPr>
          <w:sz w:val="20"/>
          <w:szCs w:val="20"/>
        </w:rPr>
        <w:t>University, Cairo, Egypt</w:t>
      </w:r>
    </w:p>
    <w:p w14:paraId="7987CA24" w14:textId="77777777" w:rsidR="00BC2B17" w:rsidRPr="00AA7213" w:rsidRDefault="00BC2B17" w:rsidP="00BC2B17">
      <w:pPr>
        <w:rPr>
          <w:sz w:val="20"/>
          <w:szCs w:val="20"/>
        </w:rPr>
      </w:pPr>
    </w:p>
    <w:p w14:paraId="6962B931" w14:textId="77777777" w:rsidR="00BC2B17" w:rsidRDefault="00BC2B17" w:rsidP="00BC2B17">
      <w:pPr>
        <w:widowControl w:val="0"/>
        <w:autoSpaceDE w:val="0"/>
        <w:autoSpaceDN w:val="0"/>
        <w:adjustRightInd w:val="0"/>
        <w:spacing w:after="240" w:line="180" w:lineRule="atLeast"/>
        <w:jc w:val="both"/>
        <w:rPr>
          <w:sz w:val="20"/>
          <w:szCs w:val="20"/>
        </w:rPr>
      </w:pPr>
      <w:r w:rsidRPr="00AA7213">
        <w:rPr>
          <w:sz w:val="20"/>
          <w:szCs w:val="20"/>
          <w:vertAlign w:val="superscript"/>
        </w:rPr>
        <w:t>*</w:t>
      </w:r>
      <w:r>
        <w:rPr>
          <w:rFonts w:ascii="Times" w:hAnsi="Times" w:cs="Times"/>
          <w:sz w:val="16"/>
          <w:szCs w:val="16"/>
        </w:rPr>
        <w:t xml:space="preserve"> </w:t>
      </w:r>
      <w:r w:rsidRPr="00790DFB">
        <w:rPr>
          <w:rFonts w:ascii="Times" w:hAnsi="Times" w:cs="Times"/>
          <w:b/>
          <w:bCs/>
          <w:sz w:val="16"/>
          <w:szCs w:val="16"/>
        </w:rPr>
        <w:t>Corresponding Author:</w:t>
      </w:r>
      <w:r w:rsidRPr="00AA7213">
        <w:rPr>
          <w:rFonts w:ascii="Times" w:hAnsi="Times" w:cs="Times"/>
          <w:sz w:val="16"/>
          <w:szCs w:val="16"/>
        </w:rPr>
        <w:t xml:space="preserve"> </w:t>
      </w:r>
      <w:r w:rsidRPr="00790DFB">
        <w:rPr>
          <w:sz w:val="20"/>
          <w:szCs w:val="20"/>
        </w:rPr>
        <w:t>Abdel-Wahab, H.</w:t>
      </w:r>
      <w:r>
        <w:rPr>
          <w:sz w:val="20"/>
          <w:szCs w:val="20"/>
        </w:rPr>
        <w:t>;</w:t>
      </w:r>
      <w:r>
        <w:rPr>
          <w:color w:val="000000" w:themeColor="text1"/>
        </w:rPr>
        <w:t xml:space="preserve"> </w:t>
      </w:r>
      <w:hyperlink r:id="rId4" w:history="1">
        <w:r w:rsidRPr="000E72CC">
          <w:rPr>
            <w:rStyle w:val="Hyperlink"/>
            <w:sz w:val="20"/>
            <w:szCs w:val="20"/>
          </w:rPr>
          <w:t>hala_abdelwahab@agr.asu.edu.eg</w:t>
        </w:r>
      </w:hyperlink>
    </w:p>
    <w:p w14:paraId="0B677F38" w14:textId="77777777" w:rsidR="00BC2B17" w:rsidRPr="00BC2B17" w:rsidRDefault="00BC2B17" w:rsidP="00BC2B17">
      <w:pPr>
        <w:widowControl w:val="0"/>
        <w:autoSpaceDE w:val="0"/>
        <w:autoSpaceDN w:val="0"/>
        <w:adjustRightInd w:val="0"/>
        <w:spacing w:after="240" w:line="180" w:lineRule="atLeast"/>
        <w:jc w:val="both"/>
        <w:rPr>
          <w:rFonts w:ascii="Times" w:hAnsi="Times" w:cs="Times"/>
          <w:sz w:val="2"/>
          <w:szCs w:val="2"/>
        </w:rPr>
      </w:pPr>
    </w:p>
    <w:p w14:paraId="1C8848D5" w14:textId="4166C114" w:rsidR="00BC2B17" w:rsidRPr="00BB70FB" w:rsidRDefault="00E24521" w:rsidP="00BC2B17">
      <w:pPr>
        <w:adjustRightInd w:val="0"/>
        <w:spacing w:after="240" w:line="360" w:lineRule="auto"/>
        <w:jc w:val="both"/>
        <w:rPr>
          <w:rFonts w:asciiTheme="majorBidi" w:hAnsiTheme="majorBidi" w:cstheme="majorBidi"/>
          <w:b/>
          <w:bCs/>
          <w:color w:val="000000" w:themeColor="text1"/>
        </w:rPr>
      </w:pPr>
      <w:r>
        <w:rPr>
          <w:rFonts w:asciiTheme="majorBidi" w:hAnsiTheme="majorBidi" w:cstheme="majorBidi"/>
          <w:b/>
          <w:bCs/>
          <w:color w:val="000000" w:themeColor="text1"/>
        </w:rPr>
        <w:t xml:space="preserve">       </w:t>
      </w:r>
      <w:bookmarkStart w:id="0" w:name="_GoBack"/>
      <w:bookmarkEnd w:id="0"/>
      <w:r w:rsidR="00BC2B17">
        <w:rPr>
          <w:rFonts w:asciiTheme="majorBidi" w:hAnsiTheme="majorBidi" w:cstheme="majorBidi"/>
          <w:b/>
          <w:bCs/>
          <w:color w:val="000000" w:themeColor="text1"/>
        </w:rPr>
        <w:t xml:space="preserve"> </w:t>
      </w:r>
      <w:r w:rsidR="00BC2B17" w:rsidRPr="00281079">
        <w:rPr>
          <w:rFonts w:asciiTheme="majorBidi" w:hAnsiTheme="majorBidi" w:cstheme="majorBidi"/>
          <w:i/>
          <w:iCs/>
          <w:color w:val="000000" w:themeColor="text1"/>
        </w:rPr>
        <w:t>Botrytis cinerea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 is a necrotrophic plant pathogen </w:t>
      </w:r>
      <w:r w:rsidR="00BC2B17">
        <w:rPr>
          <w:rFonts w:asciiTheme="majorBidi" w:hAnsiTheme="majorBidi" w:cstheme="majorBidi"/>
          <w:color w:val="000000" w:themeColor="text1"/>
        </w:rPr>
        <w:t>causing crop losses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. Fifty-one isolates of </w:t>
      </w:r>
      <w:r w:rsidR="00BC2B17" w:rsidRPr="00281079">
        <w:rPr>
          <w:rFonts w:asciiTheme="majorBidi" w:hAnsiTheme="majorBidi" w:cstheme="majorBidi"/>
          <w:i/>
          <w:iCs/>
          <w:color w:val="000000" w:themeColor="text1"/>
        </w:rPr>
        <w:t>B. cinerea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 were collected from grape and strawberry grown in different Egyptian locations. Variation was demonstrated among isolates using fenhexamid resistance and genetic approaches. All </w:t>
      </w:r>
      <w:r w:rsidR="00BC2B17" w:rsidRPr="00281079">
        <w:rPr>
          <w:rFonts w:asciiTheme="majorBidi" w:hAnsiTheme="majorBidi" w:cstheme="majorBidi"/>
          <w:i/>
          <w:iCs/>
          <w:color w:val="000000" w:themeColor="text1"/>
        </w:rPr>
        <w:t>B. cinerea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 isolates were </w:t>
      </w:r>
      <w:r w:rsidR="00BC2B17">
        <w:rPr>
          <w:rFonts w:asciiTheme="majorBidi" w:hAnsiTheme="majorBidi" w:cstheme="majorBidi"/>
          <w:color w:val="000000" w:themeColor="text1"/>
        </w:rPr>
        <w:t>classified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 into </w:t>
      </w:r>
      <w:r w:rsidR="00BC2B17">
        <w:rPr>
          <w:rFonts w:asciiTheme="majorBidi" w:hAnsiTheme="majorBidi" w:cstheme="majorBidi"/>
          <w:color w:val="000000" w:themeColor="text1"/>
        </w:rPr>
        <w:t>various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 pathogenic groups </w:t>
      </w:r>
      <w:r w:rsidR="00BC2B17">
        <w:rPr>
          <w:rFonts w:asciiTheme="majorBidi" w:hAnsiTheme="majorBidi" w:cstheme="majorBidi"/>
          <w:color w:val="000000" w:themeColor="text1"/>
        </w:rPr>
        <w:t>depending on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 their </w:t>
      </w:r>
      <w:r w:rsidR="00BC2B17">
        <w:rPr>
          <w:rFonts w:asciiTheme="majorBidi" w:hAnsiTheme="majorBidi" w:cstheme="majorBidi"/>
          <w:color w:val="000000" w:themeColor="text1"/>
        </w:rPr>
        <w:t>different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 reaction</w:t>
      </w:r>
      <w:r w:rsidR="00BC2B17">
        <w:rPr>
          <w:rFonts w:asciiTheme="majorBidi" w:hAnsiTheme="majorBidi" w:cstheme="majorBidi"/>
          <w:color w:val="000000" w:themeColor="text1"/>
        </w:rPr>
        <w:t>s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 towards lettuce </w:t>
      </w:r>
      <w:r w:rsidR="00BC2B17">
        <w:rPr>
          <w:rFonts w:asciiTheme="majorBidi" w:hAnsiTheme="majorBidi" w:cstheme="majorBidi"/>
          <w:color w:val="000000" w:themeColor="text1"/>
        </w:rPr>
        <w:t>leaves</w:t>
      </w:r>
      <w:r w:rsidR="00BC2B17" w:rsidRPr="00281079">
        <w:rPr>
          <w:rFonts w:asciiTheme="majorBidi" w:hAnsiTheme="majorBidi" w:cstheme="majorBidi"/>
          <w:color w:val="000000" w:themeColor="text1"/>
        </w:rPr>
        <w:t>. Genetic variabil</w:t>
      </w:r>
      <w:r w:rsidR="00BC2B17">
        <w:rPr>
          <w:rFonts w:asciiTheme="majorBidi" w:hAnsiTheme="majorBidi" w:cstheme="majorBidi"/>
          <w:color w:val="000000" w:themeColor="text1"/>
        </w:rPr>
        <w:t xml:space="preserve">ity was characterized using TEs, transposable elements, 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analysis which revealed either the presence or absence of </w:t>
      </w:r>
      <w:r w:rsidR="00BC2B17" w:rsidRPr="00281079">
        <w:rPr>
          <w:rFonts w:asciiTheme="majorBidi" w:hAnsiTheme="majorBidi" w:cstheme="majorBidi"/>
          <w:i/>
          <w:iCs/>
          <w:color w:val="000000" w:themeColor="text1"/>
        </w:rPr>
        <w:t>boty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 and </w:t>
      </w:r>
      <w:r w:rsidR="00BC2B17" w:rsidRPr="00281079">
        <w:rPr>
          <w:rFonts w:asciiTheme="majorBidi" w:hAnsiTheme="majorBidi" w:cstheme="majorBidi"/>
          <w:i/>
          <w:iCs/>
          <w:color w:val="000000" w:themeColor="text1"/>
        </w:rPr>
        <w:t>flipper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 transposons in all isolates. Moreover, TEs typing of </w:t>
      </w:r>
      <w:r w:rsidR="00BC2B17" w:rsidRPr="00281079">
        <w:rPr>
          <w:rFonts w:asciiTheme="majorBidi" w:hAnsiTheme="majorBidi" w:cstheme="majorBidi"/>
          <w:i/>
          <w:iCs/>
          <w:color w:val="000000" w:themeColor="text1"/>
        </w:rPr>
        <w:t>B. cinerea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 isolates demonstrated four TE types on the basis of TE distribution in </w:t>
      </w:r>
      <w:r w:rsidR="00BC2B17" w:rsidRPr="00281079">
        <w:rPr>
          <w:rFonts w:asciiTheme="majorBidi" w:hAnsiTheme="majorBidi" w:cstheme="majorBidi"/>
          <w:i/>
          <w:iCs/>
          <w:color w:val="000000" w:themeColor="text1"/>
        </w:rPr>
        <w:t>B. cinerea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 populations in which </w:t>
      </w:r>
      <w:r w:rsidR="00BC2B17" w:rsidRPr="00281079">
        <w:rPr>
          <w:rFonts w:asciiTheme="majorBidi" w:hAnsiTheme="majorBidi" w:cstheme="majorBidi"/>
          <w:i/>
          <w:iCs/>
          <w:color w:val="000000" w:themeColor="text1"/>
        </w:rPr>
        <w:t>transposa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 type was predominant (43.1%). Both </w:t>
      </w:r>
      <w:r w:rsidR="00BC2B17" w:rsidRPr="00281079">
        <w:rPr>
          <w:rFonts w:asciiTheme="majorBidi" w:hAnsiTheme="majorBidi" w:cstheme="majorBidi"/>
          <w:i/>
          <w:iCs/>
          <w:color w:val="000000" w:themeColor="text1"/>
        </w:rPr>
        <w:t>transposa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 and </w:t>
      </w:r>
      <w:r w:rsidR="00BC2B17" w:rsidRPr="00281079">
        <w:rPr>
          <w:rFonts w:asciiTheme="majorBidi" w:hAnsiTheme="majorBidi" w:cstheme="majorBidi"/>
          <w:i/>
          <w:iCs/>
          <w:color w:val="000000" w:themeColor="text1"/>
        </w:rPr>
        <w:t>vacuma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 isolate type showed no specialization with respect to host plant </w:t>
      </w:r>
      <w:r w:rsidR="00BC2B17">
        <w:rPr>
          <w:rFonts w:asciiTheme="majorBidi" w:hAnsiTheme="majorBidi" w:cstheme="majorBidi"/>
          <w:color w:val="000000" w:themeColor="text1"/>
        </w:rPr>
        <w:t>n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or </w:t>
      </w:r>
      <w:r w:rsidR="00BC2B17">
        <w:rPr>
          <w:rFonts w:asciiTheme="majorBidi" w:hAnsiTheme="majorBidi" w:cstheme="majorBidi"/>
          <w:color w:val="000000" w:themeColor="text1"/>
        </w:rPr>
        <w:t xml:space="preserve">plant </w:t>
      </w:r>
      <w:r w:rsidR="00BC2B17" w:rsidRPr="00281079">
        <w:rPr>
          <w:rFonts w:asciiTheme="majorBidi" w:hAnsiTheme="majorBidi" w:cstheme="majorBidi"/>
          <w:color w:val="000000" w:themeColor="text1"/>
        </w:rPr>
        <w:t>location</w:t>
      </w:r>
      <w:r w:rsidR="00BC2B17">
        <w:rPr>
          <w:rFonts w:asciiTheme="majorBidi" w:hAnsiTheme="majorBidi" w:cstheme="majorBidi"/>
          <w:color w:val="000000" w:themeColor="text1"/>
        </w:rPr>
        <w:t xml:space="preserve">, while </w:t>
      </w:r>
      <w:r w:rsidR="00BC2B17" w:rsidRPr="00067DD6">
        <w:rPr>
          <w:rFonts w:asciiTheme="majorBidi" w:hAnsiTheme="majorBidi" w:cstheme="majorBidi"/>
          <w:i/>
          <w:iCs/>
          <w:color w:val="000000" w:themeColor="text1"/>
        </w:rPr>
        <w:t>flipper</w:t>
      </w:r>
      <w:r w:rsidR="00BC2B17">
        <w:rPr>
          <w:rFonts w:asciiTheme="majorBidi" w:hAnsiTheme="majorBidi" w:cstheme="majorBidi"/>
          <w:color w:val="000000" w:themeColor="text1"/>
        </w:rPr>
        <w:t xml:space="preserve"> type was revealed a geographical preference in BCG isolates</w:t>
      </w:r>
      <w:r w:rsidR="00BC2B17" w:rsidRPr="00281079">
        <w:rPr>
          <w:rFonts w:asciiTheme="majorBidi" w:hAnsiTheme="majorBidi" w:cstheme="majorBidi"/>
          <w:color w:val="000000" w:themeColor="text1"/>
        </w:rPr>
        <w:t>. Additionally, pathogenicity was</w:t>
      </w:r>
      <w:r w:rsidR="00BC2B17">
        <w:rPr>
          <w:rFonts w:asciiTheme="majorBidi" w:hAnsiTheme="majorBidi" w:cstheme="majorBidi"/>
          <w:color w:val="000000" w:themeColor="text1"/>
        </w:rPr>
        <w:t xml:space="preserve"> also correlated to TE type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 as isolates containing </w:t>
      </w:r>
      <w:r w:rsidR="00BC2B17" w:rsidRPr="00281079">
        <w:rPr>
          <w:rFonts w:asciiTheme="majorBidi" w:hAnsiTheme="majorBidi" w:cstheme="majorBidi"/>
          <w:i/>
          <w:iCs/>
          <w:color w:val="000000" w:themeColor="text1"/>
        </w:rPr>
        <w:t>transposa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 type revealed some degree of correlation with virulence behavior, suggesting that </w:t>
      </w:r>
      <w:r w:rsidR="00BC2B17" w:rsidRPr="00281079">
        <w:rPr>
          <w:rFonts w:asciiTheme="majorBidi" w:hAnsiTheme="majorBidi" w:cstheme="majorBidi"/>
          <w:i/>
          <w:iCs/>
          <w:color w:val="000000" w:themeColor="text1"/>
        </w:rPr>
        <w:t>transposa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 populations have higher pathogenic potential as compared to </w:t>
      </w:r>
      <w:r w:rsidR="00BC2B17" w:rsidRPr="00281079">
        <w:rPr>
          <w:rFonts w:asciiTheme="majorBidi" w:hAnsiTheme="majorBidi" w:cstheme="majorBidi"/>
          <w:i/>
          <w:iCs/>
          <w:color w:val="000000" w:themeColor="text1"/>
        </w:rPr>
        <w:t>vacuma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 </w:t>
      </w:r>
      <w:r w:rsidR="00BC2B17">
        <w:rPr>
          <w:rFonts w:asciiTheme="majorBidi" w:hAnsiTheme="majorBidi" w:cstheme="majorBidi"/>
          <w:color w:val="000000" w:themeColor="text1"/>
        </w:rPr>
        <w:t>ones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. Sensitivity of sampled isolates was tested against fenhexamid which is one of the most important botryticides. </w:t>
      </w:r>
      <w:r w:rsidR="00BC2B17">
        <w:rPr>
          <w:rFonts w:asciiTheme="majorBidi" w:hAnsiTheme="majorBidi" w:cstheme="majorBidi"/>
          <w:color w:val="000000" w:themeColor="text1"/>
        </w:rPr>
        <w:t>S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ensitivity </w:t>
      </w:r>
      <w:r w:rsidR="00BC2B17">
        <w:rPr>
          <w:rFonts w:asciiTheme="majorBidi" w:hAnsiTheme="majorBidi" w:cstheme="majorBidi"/>
          <w:color w:val="000000" w:themeColor="text1"/>
        </w:rPr>
        <w:t xml:space="preserve">to </w:t>
      </w:r>
      <w:r w:rsidR="00BC2B17" w:rsidRPr="00281079">
        <w:rPr>
          <w:rFonts w:asciiTheme="majorBidi" w:hAnsiTheme="majorBidi" w:cstheme="majorBidi"/>
          <w:color w:val="000000" w:themeColor="text1"/>
        </w:rPr>
        <w:t>fenhexamid</w:t>
      </w:r>
      <w:r w:rsidR="00BC2B17">
        <w:rPr>
          <w:rFonts w:asciiTheme="majorBidi" w:hAnsiTheme="majorBidi" w:cstheme="majorBidi"/>
          <w:color w:val="000000" w:themeColor="text1"/>
        </w:rPr>
        <w:t xml:space="preserve"> was shown in all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 isolates from </w:t>
      </w:r>
      <w:r w:rsidR="00BC2B17">
        <w:rPr>
          <w:rFonts w:asciiTheme="majorBidi" w:hAnsiTheme="majorBidi" w:cstheme="majorBidi"/>
          <w:color w:val="000000" w:themeColor="text1"/>
        </w:rPr>
        <w:t xml:space="preserve">strawberry and grape, </w:t>
      </w:r>
      <w:r w:rsidR="00BC2B17" w:rsidRPr="00281079">
        <w:rPr>
          <w:rFonts w:asciiTheme="majorBidi" w:hAnsiTheme="majorBidi" w:cstheme="majorBidi"/>
          <w:color w:val="000000" w:themeColor="text1"/>
        </w:rPr>
        <w:t>grown in different locations</w:t>
      </w:r>
      <w:r w:rsidR="00BC2B17">
        <w:rPr>
          <w:rFonts w:asciiTheme="majorBidi" w:hAnsiTheme="majorBidi" w:cstheme="majorBidi"/>
          <w:color w:val="000000" w:themeColor="text1"/>
        </w:rPr>
        <w:t>,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 with </w:t>
      </w:r>
      <w:r w:rsidR="00BC2B17">
        <w:rPr>
          <w:rFonts w:asciiTheme="majorBidi" w:hAnsiTheme="majorBidi" w:cstheme="majorBidi"/>
          <w:color w:val="000000" w:themeColor="text1"/>
        </w:rPr>
        <w:t xml:space="preserve">low </w:t>
      </w:r>
      <w:r w:rsidR="00BC2B17" w:rsidRPr="00281079">
        <w:rPr>
          <w:rFonts w:asciiTheme="majorBidi" w:hAnsiTheme="majorBidi" w:cstheme="majorBidi"/>
          <w:color w:val="000000" w:themeColor="text1"/>
        </w:rPr>
        <w:t>EC50 val</w:t>
      </w:r>
      <w:r w:rsidR="00BC2B17">
        <w:rPr>
          <w:rFonts w:asciiTheme="majorBidi" w:hAnsiTheme="majorBidi" w:cstheme="majorBidi"/>
          <w:color w:val="000000" w:themeColor="text1"/>
        </w:rPr>
        <w:t>ues between 0.012 - 0.084 μg/ml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. This </w:t>
      </w:r>
      <w:r w:rsidR="00BC2B17">
        <w:rPr>
          <w:rFonts w:asciiTheme="majorBidi" w:hAnsiTheme="majorBidi" w:cstheme="majorBidi"/>
          <w:color w:val="000000" w:themeColor="text1"/>
        </w:rPr>
        <w:t>character provided affecting cue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 and would </w:t>
      </w:r>
      <w:r w:rsidR="00BC2B17">
        <w:rPr>
          <w:rFonts w:asciiTheme="majorBidi" w:hAnsiTheme="majorBidi" w:cstheme="majorBidi"/>
          <w:color w:val="000000" w:themeColor="text1"/>
        </w:rPr>
        <w:t xml:space="preserve">support an 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effective </w:t>
      </w:r>
      <w:r w:rsidR="00BC2B17">
        <w:rPr>
          <w:rFonts w:asciiTheme="majorBidi" w:hAnsiTheme="majorBidi" w:cstheme="majorBidi"/>
          <w:color w:val="000000" w:themeColor="text1"/>
        </w:rPr>
        <w:t>usage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 for </w:t>
      </w:r>
      <w:r w:rsidR="00BC2B17">
        <w:rPr>
          <w:rFonts w:asciiTheme="majorBidi" w:hAnsiTheme="majorBidi" w:cstheme="majorBidi"/>
          <w:color w:val="000000" w:themeColor="text1"/>
        </w:rPr>
        <w:t>disease management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. The current study demonstrated a correlation between the distribution of TEs and some fungal </w:t>
      </w:r>
      <w:r w:rsidR="00BC2B17">
        <w:rPr>
          <w:rFonts w:asciiTheme="majorBidi" w:hAnsiTheme="majorBidi" w:cstheme="majorBidi"/>
          <w:color w:val="000000" w:themeColor="text1"/>
        </w:rPr>
        <w:t>features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 such as the </w:t>
      </w:r>
      <w:r w:rsidR="00BC2B17">
        <w:rPr>
          <w:rFonts w:asciiTheme="majorBidi" w:hAnsiTheme="majorBidi" w:cstheme="majorBidi"/>
          <w:color w:val="000000" w:themeColor="text1"/>
        </w:rPr>
        <w:t>isolate source</w:t>
      </w:r>
      <w:r w:rsidR="00BC2B17" w:rsidRPr="00281079">
        <w:rPr>
          <w:rFonts w:asciiTheme="majorBidi" w:hAnsiTheme="majorBidi" w:cstheme="majorBidi"/>
          <w:color w:val="000000" w:themeColor="text1"/>
        </w:rPr>
        <w:t xml:space="preserve"> and virulence. Results also carried out that no correlation </w:t>
      </w:r>
      <w:r w:rsidR="00BC2B17">
        <w:rPr>
          <w:rFonts w:asciiTheme="majorBidi" w:hAnsiTheme="majorBidi" w:cstheme="majorBidi"/>
          <w:color w:val="000000" w:themeColor="text1"/>
        </w:rPr>
        <w:t xml:space="preserve">was found </w:t>
      </w:r>
      <w:r w:rsidR="00BC2B17" w:rsidRPr="00281079">
        <w:rPr>
          <w:rFonts w:asciiTheme="majorBidi" w:hAnsiTheme="majorBidi" w:cstheme="majorBidi"/>
          <w:color w:val="000000" w:themeColor="text1"/>
        </w:rPr>
        <w:t>between morphological, TE type, and sensitivity to fenhexamid. Cluster analysis based on phylogenetic analysis showed that the Egyptian isolates branched as a separate divergent group from the others retrieved from GenBank</w:t>
      </w:r>
      <w:r w:rsidR="00BC2B17">
        <w:rPr>
          <w:rFonts w:asciiTheme="majorBidi" w:hAnsiTheme="majorBidi" w:cstheme="majorBidi"/>
          <w:color w:val="000000" w:themeColor="text1"/>
        </w:rPr>
        <w:t xml:space="preserve">, </w:t>
      </w:r>
      <w:r w:rsidR="00BC2B17" w:rsidRPr="00BE5DF7">
        <w:rPr>
          <w:rFonts w:asciiTheme="majorBidi" w:hAnsiTheme="majorBidi" w:cstheme="majorBidi"/>
          <w:color w:val="000000" w:themeColor="text1"/>
        </w:rPr>
        <w:t>reflecting the presence of sequence polymorphism among local and international isolates</w:t>
      </w:r>
      <w:r w:rsidR="00BC2B17">
        <w:rPr>
          <w:rFonts w:asciiTheme="majorBidi" w:hAnsiTheme="majorBidi" w:cstheme="majorBidi"/>
          <w:color w:val="000000" w:themeColor="text1"/>
        </w:rPr>
        <w:t xml:space="preserve"> of </w:t>
      </w:r>
      <w:r w:rsidR="00BC2B17" w:rsidRPr="00BE5DF7">
        <w:rPr>
          <w:rFonts w:asciiTheme="majorBidi" w:hAnsiTheme="majorBidi" w:cstheme="majorBidi"/>
          <w:i/>
          <w:iCs/>
          <w:color w:val="000000" w:themeColor="text1"/>
        </w:rPr>
        <w:t>B. cinerea</w:t>
      </w:r>
      <w:r w:rsidR="00BC2B17" w:rsidRPr="00BE5DF7">
        <w:rPr>
          <w:rFonts w:asciiTheme="majorBidi" w:hAnsiTheme="majorBidi" w:cstheme="majorBidi"/>
          <w:color w:val="000000" w:themeColor="text1"/>
        </w:rPr>
        <w:t>.</w:t>
      </w:r>
    </w:p>
    <w:p w14:paraId="335EE3C7" w14:textId="77777777" w:rsidR="00BC2B17" w:rsidRPr="00BE5DF7" w:rsidRDefault="00BC2B17" w:rsidP="00BC2B17">
      <w:pPr>
        <w:adjustRightInd w:val="0"/>
        <w:spacing w:after="240" w:line="360" w:lineRule="auto"/>
        <w:jc w:val="both"/>
        <w:rPr>
          <w:rFonts w:asciiTheme="majorBidi" w:hAnsiTheme="majorBidi" w:cstheme="majorBidi"/>
          <w:color w:val="000000" w:themeColor="text1"/>
        </w:rPr>
      </w:pPr>
      <w:r w:rsidRPr="00BB70FB">
        <w:rPr>
          <w:rFonts w:asciiTheme="majorBidi" w:hAnsiTheme="majorBidi" w:cstheme="majorBidi"/>
          <w:b/>
          <w:bCs/>
          <w:color w:val="000000" w:themeColor="text1"/>
        </w:rPr>
        <w:t>Keywords</w:t>
      </w:r>
      <w:r>
        <w:rPr>
          <w:rFonts w:asciiTheme="majorBidi" w:hAnsiTheme="majorBidi" w:cstheme="majorBidi"/>
          <w:color w:val="000000" w:themeColor="text1"/>
        </w:rPr>
        <w:t>: Gray mold, Fungicide sensitivity, Transposable elements, Phylogenetic divergence.</w:t>
      </w:r>
    </w:p>
    <w:p w14:paraId="497253E5" w14:textId="77777777" w:rsidR="00E24521" w:rsidRDefault="00E24521" w:rsidP="00E24521">
      <w:pPr>
        <w:pStyle w:val="BodyText"/>
        <w:jc w:val="center"/>
        <w:rPr>
          <w:b/>
          <w:bCs/>
          <w:color w:val="000000" w:themeColor="text1"/>
          <w:sz w:val="32"/>
          <w:szCs w:val="32"/>
        </w:rPr>
      </w:pPr>
      <w:r w:rsidRPr="003C7B63">
        <w:rPr>
          <w:b/>
          <w:bCs/>
          <w:color w:val="000000" w:themeColor="text1"/>
          <w:sz w:val="32"/>
          <w:szCs w:val="32"/>
        </w:rPr>
        <w:lastRenderedPageBreak/>
        <w:t>Phenotypic, Pathological and Molecular Characterization</w:t>
      </w:r>
    </w:p>
    <w:p w14:paraId="42094990" w14:textId="77777777" w:rsidR="00E24521" w:rsidRPr="003C7B63" w:rsidRDefault="00E24521" w:rsidP="00E24521">
      <w:pPr>
        <w:pStyle w:val="BodyText"/>
        <w:jc w:val="center"/>
        <w:rPr>
          <w:b/>
          <w:bCs/>
          <w:color w:val="000000" w:themeColor="text1"/>
          <w:sz w:val="32"/>
          <w:szCs w:val="32"/>
        </w:rPr>
      </w:pPr>
      <w:r w:rsidRPr="003C7B63">
        <w:rPr>
          <w:b/>
          <w:bCs/>
          <w:color w:val="000000" w:themeColor="text1"/>
          <w:sz w:val="32"/>
          <w:szCs w:val="32"/>
        </w:rPr>
        <w:t>of</w:t>
      </w:r>
      <w:r w:rsidRPr="003C7B63">
        <w:rPr>
          <w:b/>
          <w:bCs/>
          <w:i/>
          <w:iCs/>
          <w:color w:val="000000" w:themeColor="text1"/>
          <w:sz w:val="32"/>
          <w:szCs w:val="32"/>
        </w:rPr>
        <w:t xml:space="preserve"> Botrytis cinerea</w:t>
      </w:r>
      <w:r w:rsidRPr="003C7B63">
        <w:rPr>
          <w:b/>
          <w:bCs/>
          <w:color w:val="000000" w:themeColor="text1"/>
          <w:sz w:val="32"/>
          <w:szCs w:val="32"/>
        </w:rPr>
        <w:t xml:space="preserve"> Infected</w:t>
      </w:r>
      <w:r>
        <w:rPr>
          <w:b/>
          <w:bCs/>
          <w:color w:val="000000" w:themeColor="text1"/>
          <w:sz w:val="32"/>
          <w:szCs w:val="32"/>
        </w:rPr>
        <w:t xml:space="preserve"> </w:t>
      </w:r>
      <w:r w:rsidRPr="003C7B63">
        <w:rPr>
          <w:b/>
          <w:bCs/>
          <w:color w:val="000000" w:themeColor="text1"/>
          <w:sz w:val="32"/>
          <w:szCs w:val="32"/>
        </w:rPr>
        <w:t>Vegetables in Egypt</w:t>
      </w:r>
    </w:p>
    <w:p w14:paraId="7957FD30" w14:textId="77777777" w:rsidR="00E24521" w:rsidRPr="003C7B63" w:rsidRDefault="00E24521" w:rsidP="00E24521">
      <w:pPr>
        <w:rPr>
          <w:color w:val="000000" w:themeColor="text1"/>
        </w:rPr>
      </w:pPr>
    </w:p>
    <w:p w14:paraId="3F991F83" w14:textId="77777777" w:rsidR="00E24521" w:rsidRPr="003C7B63" w:rsidRDefault="00E24521" w:rsidP="00E24521">
      <w:pPr>
        <w:pStyle w:val="Heading1"/>
        <w:spacing w:before="89"/>
        <w:ind w:left="0" w:firstLine="0"/>
        <w:rPr>
          <w:color w:val="000000" w:themeColor="text1"/>
        </w:rPr>
      </w:pPr>
    </w:p>
    <w:p w14:paraId="705AAED7" w14:textId="77777777" w:rsidR="00E24521" w:rsidRPr="003C7B63" w:rsidRDefault="00E24521" w:rsidP="00E24521">
      <w:pPr>
        <w:pStyle w:val="Heading1"/>
        <w:spacing w:before="89"/>
        <w:ind w:left="0" w:firstLine="0"/>
        <w:rPr>
          <w:color w:val="000000" w:themeColor="text1"/>
        </w:rPr>
      </w:pPr>
    </w:p>
    <w:p w14:paraId="61F26E88" w14:textId="77777777" w:rsidR="00E24521" w:rsidRPr="003C7B63" w:rsidRDefault="00E24521" w:rsidP="00E24521">
      <w:pPr>
        <w:pStyle w:val="BodyText"/>
        <w:rPr>
          <w:color w:val="000000" w:themeColor="text1"/>
        </w:rPr>
      </w:pPr>
      <w:r w:rsidRPr="003C7B63">
        <w:rPr>
          <w:color w:val="000000" w:themeColor="text1"/>
          <w:vertAlign w:val="superscript"/>
        </w:rPr>
        <w:t>1</w:t>
      </w:r>
      <w:r w:rsidRPr="003C7B63">
        <w:rPr>
          <w:color w:val="000000" w:themeColor="text1"/>
        </w:rPr>
        <w:t xml:space="preserve">Mahmoud A. Gaber, </w:t>
      </w:r>
      <w:r w:rsidRPr="003C7B63">
        <w:rPr>
          <w:color w:val="000000" w:themeColor="text1"/>
          <w:vertAlign w:val="superscript"/>
        </w:rPr>
        <w:t>1</w:t>
      </w:r>
      <w:r w:rsidRPr="003C7B63">
        <w:rPr>
          <w:color w:val="000000" w:themeColor="text1"/>
        </w:rPr>
        <w:t xml:space="preserve">Mohamed R.A. Shehata, </w:t>
      </w:r>
      <w:r w:rsidRPr="003C7B63">
        <w:rPr>
          <w:color w:val="000000" w:themeColor="text1"/>
          <w:vertAlign w:val="superscript"/>
        </w:rPr>
        <w:t>1</w:t>
      </w:r>
      <w:r w:rsidRPr="003C7B63">
        <w:rPr>
          <w:color w:val="000000" w:themeColor="text1"/>
        </w:rPr>
        <w:t xml:space="preserve">Magda M. Fahmy, </w:t>
      </w:r>
      <w:r w:rsidRPr="003C7B63">
        <w:rPr>
          <w:color w:val="000000" w:themeColor="text1"/>
          <w:vertAlign w:val="superscript"/>
        </w:rPr>
        <w:t>1</w:t>
      </w:r>
      <w:r w:rsidRPr="003C7B63">
        <w:rPr>
          <w:color w:val="000000" w:themeColor="text1"/>
        </w:rPr>
        <w:t xml:space="preserve">Elsayed E. Wagih and </w:t>
      </w:r>
      <w:r w:rsidRPr="003C7B63">
        <w:rPr>
          <w:color w:val="000000" w:themeColor="text1"/>
          <w:vertAlign w:val="superscript"/>
        </w:rPr>
        <w:t>2*</w:t>
      </w:r>
      <w:r w:rsidRPr="003C7B63">
        <w:rPr>
          <w:color w:val="000000" w:themeColor="text1"/>
        </w:rPr>
        <w:t>Hala Abdel-Wahab</w:t>
      </w:r>
    </w:p>
    <w:p w14:paraId="2C873E22" w14:textId="77777777" w:rsidR="00E24521" w:rsidRPr="003C7B63" w:rsidRDefault="00E24521" w:rsidP="00E24521">
      <w:pPr>
        <w:pStyle w:val="BodyText"/>
        <w:rPr>
          <w:color w:val="000000" w:themeColor="text1"/>
        </w:rPr>
      </w:pPr>
    </w:p>
    <w:p w14:paraId="5B677950" w14:textId="77777777" w:rsidR="00E24521" w:rsidRPr="003C7B63" w:rsidRDefault="00E24521" w:rsidP="00E24521">
      <w:pPr>
        <w:ind w:left="142" w:hanging="142"/>
        <w:jc w:val="both"/>
        <w:rPr>
          <w:sz w:val="20"/>
          <w:szCs w:val="20"/>
          <w:rtl/>
        </w:rPr>
      </w:pPr>
      <w:r w:rsidRPr="003C7B63">
        <w:rPr>
          <w:sz w:val="20"/>
          <w:szCs w:val="20"/>
          <w:vertAlign w:val="superscript"/>
        </w:rPr>
        <w:t>1</w:t>
      </w:r>
      <w:r w:rsidRPr="003C7B63">
        <w:rPr>
          <w:sz w:val="20"/>
          <w:szCs w:val="20"/>
        </w:rPr>
        <w:t>Department of Plant Pathology, Faculty of Agriculture, Alexandria University, Shatby, Alexandria, Egypt</w:t>
      </w:r>
    </w:p>
    <w:p w14:paraId="2BA5DF89" w14:textId="77777777" w:rsidR="00E24521" w:rsidRPr="003C7B63" w:rsidRDefault="00E24521" w:rsidP="00E24521">
      <w:pPr>
        <w:rPr>
          <w:sz w:val="20"/>
          <w:szCs w:val="20"/>
        </w:rPr>
      </w:pPr>
    </w:p>
    <w:p w14:paraId="157D4CB6" w14:textId="77777777" w:rsidR="00E24521" w:rsidRPr="003C7B63" w:rsidRDefault="00E24521" w:rsidP="00E24521">
      <w:pPr>
        <w:ind w:left="142" w:hanging="142"/>
        <w:jc w:val="both"/>
        <w:rPr>
          <w:sz w:val="20"/>
          <w:szCs w:val="20"/>
          <w:rtl/>
        </w:rPr>
      </w:pPr>
      <w:r w:rsidRPr="003C7B63">
        <w:rPr>
          <w:sz w:val="20"/>
          <w:szCs w:val="20"/>
          <w:vertAlign w:val="superscript"/>
        </w:rPr>
        <w:t>2</w:t>
      </w:r>
      <w:r w:rsidRPr="003C7B63">
        <w:rPr>
          <w:sz w:val="20"/>
          <w:szCs w:val="20"/>
        </w:rPr>
        <w:t>Laboratory of</w:t>
      </w:r>
      <w:r w:rsidRPr="003C7B63">
        <w:rPr>
          <w:sz w:val="20"/>
          <w:szCs w:val="20"/>
          <w:vertAlign w:val="superscript"/>
        </w:rPr>
        <w:t xml:space="preserve"> </w:t>
      </w:r>
      <w:r w:rsidRPr="003C7B63">
        <w:rPr>
          <w:sz w:val="20"/>
          <w:szCs w:val="20"/>
        </w:rPr>
        <w:t>Molecular Diagnostic of Plant Diseases, Department of Plant Pathology, Faculty of Agriculture, Ain Shams University, Cairo, Egypt</w:t>
      </w:r>
    </w:p>
    <w:p w14:paraId="02F48F9A" w14:textId="77777777" w:rsidR="00E24521" w:rsidRPr="003C7B63" w:rsidRDefault="00E24521" w:rsidP="00E24521">
      <w:pPr>
        <w:rPr>
          <w:sz w:val="20"/>
          <w:szCs w:val="20"/>
        </w:rPr>
      </w:pPr>
    </w:p>
    <w:p w14:paraId="7B35C43C" w14:textId="77777777" w:rsidR="00E24521" w:rsidRPr="003C7B63" w:rsidRDefault="00E24521" w:rsidP="00E24521">
      <w:pPr>
        <w:adjustRightInd w:val="0"/>
        <w:spacing w:after="240" w:line="180" w:lineRule="atLeast"/>
        <w:jc w:val="both"/>
        <w:rPr>
          <w:rFonts w:ascii="Times" w:hAnsi="Times" w:cs="Times"/>
        </w:rPr>
      </w:pPr>
      <w:r w:rsidRPr="003C7B63">
        <w:rPr>
          <w:sz w:val="20"/>
          <w:szCs w:val="20"/>
          <w:vertAlign w:val="superscript"/>
        </w:rPr>
        <w:t>*</w:t>
      </w:r>
      <w:r w:rsidRPr="003C7B63">
        <w:rPr>
          <w:rFonts w:ascii="Times" w:hAnsi="Times" w:cs="Times"/>
          <w:sz w:val="16"/>
          <w:szCs w:val="16"/>
        </w:rPr>
        <w:t xml:space="preserve"> Corresponding author: </w:t>
      </w:r>
      <w:r w:rsidRPr="003C7B63">
        <w:rPr>
          <w:sz w:val="20"/>
          <w:szCs w:val="20"/>
        </w:rPr>
        <w:t>hala_abdelwahab@agr.asu.edu.eg</w:t>
      </w:r>
    </w:p>
    <w:p w14:paraId="58B621F7" w14:textId="77777777" w:rsidR="00E24521" w:rsidRPr="003C7B63" w:rsidRDefault="00E24521" w:rsidP="00E24521">
      <w:pPr>
        <w:pStyle w:val="Heading1"/>
        <w:spacing w:before="89"/>
        <w:ind w:left="0" w:firstLine="0"/>
        <w:rPr>
          <w:color w:val="000000" w:themeColor="text1"/>
        </w:rPr>
      </w:pPr>
    </w:p>
    <w:p w14:paraId="5E41EE59" w14:textId="77777777" w:rsidR="00E24521" w:rsidRPr="002E3FD8" w:rsidRDefault="00E24521" w:rsidP="00E24521">
      <w:pPr>
        <w:spacing w:line="480" w:lineRule="auto"/>
        <w:jc w:val="both"/>
        <w:rPr>
          <w:rFonts w:asciiTheme="majorBidi" w:hAnsiTheme="majorBidi" w:cstheme="majorBidi"/>
          <w:color w:val="000000" w:themeColor="text1"/>
        </w:rPr>
      </w:pPr>
      <w:r>
        <w:rPr>
          <w:rFonts w:asciiTheme="majorBidi" w:hAnsiTheme="majorBidi" w:cstheme="majorBidi"/>
          <w:i/>
          <w:iCs/>
          <w:color w:val="000000" w:themeColor="text1"/>
        </w:rPr>
        <w:t xml:space="preserve">     </w:t>
      </w:r>
      <w:r w:rsidRPr="002E3FD8">
        <w:rPr>
          <w:rFonts w:asciiTheme="majorBidi" w:hAnsiTheme="majorBidi" w:cstheme="majorBidi"/>
          <w:color w:val="000000" w:themeColor="text1"/>
        </w:rPr>
        <w:t xml:space="preserve">Gray mold </w:t>
      </w:r>
      <w:r w:rsidRPr="002E3FD8">
        <w:rPr>
          <w:rFonts w:asciiTheme="majorBidi" w:hAnsiTheme="majorBidi" w:cstheme="majorBidi"/>
          <w:color w:val="000000" w:themeColor="text1"/>
          <w:lang w:bidi="en-US"/>
        </w:rPr>
        <w:t xml:space="preserve">caused by </w:t>
      </w:r>
      <w:r w:rsidRPr="002E3FD8">
        <w:rPr>
          <w:rFonts w:asciiTheme="majorBidi" w:hAnsiTheme="majorBidi" w:cstheme="majorBidi"/>
          <w:i/>
          <w:iCs/>
          <w:color w:val="000000" w:themeColor="text1"/>
          <w:lang w:bidi="en-US"/>
        </w:rPr>
        <w:t>Botrytis cinerea</w:t>
      </w:r>
      <w:r w:rsidRPr="002E3FD8">
        <w:rPr>
          <w:rFonts w:asciiTheme="majorBidi" w:hAnsiTheme="majorBidi" w:cstheme="majorBidi"/>
          <w:color w:val="000000" w:themeColor="text1"/>
          <w:lang w:bidi="en-US"/>
        </w:rPr>
        <w:t>, occurs losses in most vegetable and fruit crops</w:t>
      </w:r>
      <w:r w:rsidRPr="002E3FD8">
        <w:rPr>
          <w:rFonts w:asciiTheme="majorBidi" w:hAnsiTheme="majorBidi" w:cstheme="majorBidi"/>
          <w:color w:val="000000" w:themeColor="text1"/>
        </w:rPr>
        <w:t xml:space="preserve">. Fifteen isolates of </w:t>
      </w:r>
      <w:r w:rsidRPr="002E3FD8">
        <w:rPr>
          <w:rFonts w:asciiTheme="majorBidi" w:hAnsiTheme="majorBidi" w:cstheme="majorBidi"/>
          <w:i/>
          <w:iCs/>
          <w:color w:val="000000" w:themeColor="text1"/>
        </w:rPr>
        <w:t>B. cinerea</w:t>
      </w:r>
      <w:r w:rsidRPr="002E3FD8">
        <w:rPr>
          <w:rFonts w:asciiTheme="majorBidi" w:hAnsiTheme="majorBidi" w:cstheme="majorBidi"/>
          <w:color w:val="000000" w:themeColor="text1"/>
        </w:rPr>
        <w:t xml:space="preserve"> were collected from cabbage, pepper and lettuce grown in different locations in Egypt. Diversity was shown among isolates at morphological, pathological and molecular levels,</w:t>
      </w:r>
      <w:r w:rsidRPr="002E3FD8">
        <w:rPr>
          <w:rFonts w:hAnsiTheme="majorBidi" w:cstheme="majorBidi" w:hint="cs"/>
          <w:color w:val="000000" w:themeColor="text1"/>
          <w:rtl/>
        </w:rPr>
        <w:t xml:space="preserve"> </w:t>
      </w:r>
      <w:r w:rsidRPr="002E3FD8">
        <w:rPr>
          <w:rFonts w:asciiTheme="majorBidi" w:hAnsiTheme="majorBidi" w:cstheme="majorBidi"/>
          <w:color w:val="000000" w:themeColor="text1"/>
        </w:rPr>
        <w:t xml:space="preserve">which led to their division into different groups. Molecular variation was indicated in all isolates by transposable elements (TEs) analyses based on the presence or absence of </w:t>
      </w:r>
      <w:r>
        <w:rPr>
          <w:rFonts w:asciiTheme="majorBidi" w:hAnsiTheme="majorBidi" w:cstheme="majorBidi"/>
          <w:color w:val="000000" w:themeColor="text1"/>
        </w:rPr>
        <w:t>them</w:t>
      </w:r>
      <w:r w:rsidRPr="002E3FD8">
        <w:rPr>
          <w:rFonts w:asciiTheme="majorBidi" w:hAnsiTheme="majorBidi" w:cstheme="majorBidi"/>
          <w:color w:val="000000" w:themeColor="text1"/>
        </w:rPr>
        <w:t xml:space="preserve">, </w:t>
      </w:r>
      <w:r w:rsidRPr="002E3FD8">
        <w:rPr>
          <w:rFonts w:asciiTheme="majorBidi" w:hAnsiTheme="majorBidi" w:cstheme="majorBidi"/>
          <w:i/>
          <w:iCs/>
          <w:color w:val="000000" w:themeColor="text1"/>
        </w:rPr>
        <w:t>boty</w:t>
      </w:r>
      <w:r w:rsidRPr="002E3FD8">
        <w:rPr>
          <w:rFonts w:asciiTheme="majorBidi" w:hAnsiTheme="majorBidi" w:cstheme="majorBidi"/>
          <w:color w:val="000000" w:themeColor="text1"/>
        </w:rPr>
        <w:t xml:space="preserve"> and </w:t>
      </w:r>
      <w:r w:rsidRPr="002E3FD8">
        <w:rPr>
          <w:rFonts w:asciiTheme="majorBidi" w:hAnsiTheme="majorBidi" w:cstheme="majorBidi"/>
          <w:i/>
          <w:iCs/>
          <w:color w:val="000000" w:themeColor="text1"/>
        </w:rPr>
        <w:t>flipper</w:t>
      </w:r>
      <w:r w:rsidRPr="002E3FD8">
        <w:rPr>
          <w:rFonts w:asciiTheme="majorBidi" w:hAnsiTheme="majorBidi" w:cstheme="majorBidi"/>
          <w:color w:val="000000" w:themeColor="text1"/>
        </w:rPr>
        <w:t xml:space="preserve">. Furthermore, all </w:t>
      </w:r>
      <w:r w:rsidRPr="002E3FD8">
        <w:rPr>
          <w:rFonts w:asciiTheme="majorBidi" w:hAnsiTheme="majorBidi" w:cstheme="majorBidi"/>
          <w:i/>
          <w:iCs/>
          <w:color w:val="000000" w:themeColor="text1"/>
        </w:rPr>
        <w:t>B. cinerea</w:t>
      </w:r>
      <w:r w:rsidRPr="002E3FD8">
        <w:rPr>
          <w:rFonts w:asciiTheme="majorBidi" w:hAnsiTheme="majorBidi" w:cstheme="majorBidi"/>
          <w:color w:val="000000" w:themeColor="text1"/>
        </w:rPr>
        <w:t xml:space="preserve"> isolates revealed four TE types, as </w:t>
      </w:r>
      <w:r w:rsidRPr="002E3FD8">
        <w:rPr>
          <w:rFonts w:asciiTheme="majorBidi" w:hAnsiTheme="majorBidi" w:cstheme="majorBidi"/>
          <w:i/>
          <w:iCs/>
          <w:color w:val="000000" w:themeColor="text1"/>
        </w:rPr>
        <w:t>transposa</w:t>
      </w:r>
      <w:r w:rsidRPr="002E3FD8">
        <w:rPr>
          <w:rFonts w:asciiTheme="majorBidi" w:hAnsiTheme="majorBidi" w:cstheme="majorBidi"/>
          <w:color w:val="000000" w:themeColor="text1"/>
        </w:rPr>
        <w:t xml:space="preserve"> type was predominant (40%), </w:t>
      </w:r>
      <w:r>
        <w:rPr>
          <w:rFonts w:asciiTheme="majorBidi" w:hAnsiTheme="majorBidi" w:cstheme="majorBidi"/>
          <w:color w:val="000000" w:themeColor="text1"/>
        </w:rPr>
        <w:t xml:space="preserve">while </w:t>
      </w:r>
      <w:r w:rsidRPr="002E3FD8">
        <w:rPr>
          <w:rFonts w:asciiTheme="majorBidi" w:hAnsiTheme="majorBidi" w:cstheme="majorBidi"/>
          <w:i/>
          <w:iCs/>
          <w:color w:val="000000" w:themeColor="text1"/>
        </w:rPr>
        <w:t>boty</w:t>
      </w:r>
      <w:r w:rsidRPr="002E3FD8">
        <w:rPr>
          <w:rFonts w:asciiTheme="majorBidi" w:hAnsiTheme="majorBidi" w:cstheme="majorBidi"/>
          <w:color w:val="000000" w:themeColor="text1"/>
        </w:rPr>
        <w:t xml:space="preserve"> and </w:t>
      </w:r>
      <w:r w:rsidRPr="002E3FD8">
        <w:rPr>
          <w:rFonts w:asciiTheme="majorBidi" w:hAnsiTheme="majorBidi" w:cstheme="majorBidi"/>
          <w:i/>
          <w:iCs/>
          <w:color w:val="000000" w:themeColor="text1"/>
        </w:rPr>
        <w:t>flipper</w:t>
      </w:r>
      <w:r w:rsidRPr="002E3FD8">
        <w:rPr>
          <w:rFonts w:asciiTheme="majorBidi" w:hAnsiTheme="majorBidi" w:cstheme="majorBidi"/>
          <w:color w:val="000000" w:themeColor="text1"/>
        </w:rPr>
        <w:t xml:space="preserve"> types showed their relatively closed values (26.7 and 20%, respectively), and </w:t>
      </w:r>
      <w:r w:rsidRPr="002E3FD8">
        <w:rPr>
          <w:rFonts w:asciiTheme="majorBidi" w:hAnsiTheme="majorBidi" w:cstheme="majorBidi"/>
          <w:i/>
          <w:iCs/>
          <w:color w:val="000000" w:themeColor="text1"/>
        </w:rPr>
        <w:t>vacuma</w:t>
      </w:r>
      <w:r w:rsidRPr="002E3FD8">
        <w:rPr>
          <w:rFonts w:asciiTheme="majorBidi" w:hAnsiTheme="majorBidi" w:cstheme="majorBidi"/>
          <w:color w:val="000000" w:themeColor="text1"/>
        </w:rPr>
        <w:t xml:space="preserve"> type revealed the lowest value (13.3%). In addition, pathogenicity </w:t>
      </w:r>
      <w:r>
        <w:rPr>
          <w:rFonts w:asciiTheme="majorBidi" w:hAnsiTheme="majorBidi" w:cstheme="majorBidi"/>
          <w:color w:val="000000" w:themeColor="text1"/>
        </w:rPr>
        <w:t>assay</w:t>
      </w:r>
      <w:r w:rsidRPr="002E3FD8">
        <w:rPr>
          <w:rFonts w:asciiTheme="majorBidi" w:hAnsiTheme="majorBidi" w:cstheme="majorBidi"/>
          <w:color w:val="000000" w:themeColor="text1"/>
        </w:rPr>
        <w:t xml:space="preserve"> </w:t>
      </w:r>
      <w:r>
        <w:rPr>
          <w:rFonts w:asciiTheme="majorBidi" w:hAnsiTheme="majorBidi" w:cstheme="majorBidi"/>
          <w:color w:val="000000" w:themeColor="text1"/>
        </w:rPr>
        <w:t>of</w:t>
      </w:r>
      <w:r w:rsidRPr="00461119">
        <w:rPr>
          <w:rFonts w:asciiTheme="majorBidi" w:hAnsiTheme="majorBidi" w:cstheme="majorBidi"/>
          <w:color w:val="000000" w:themeColor="text1"/>
        </w:rPr>
        <w:t xml:space="preserve"> </w:t>
      </w:r>
      <w:r w:rsidRPr="002E3FD8">
        <w:rPr>
          <w:rFonts w:asciiTheme="majorBidi" w:hAnsiTheme="majorBidi" w:cstheme="majorBidi"/>
          <w:i/>
          <w:iCs/>
          <w:color w:val="000000" w:themeColor="text1"/>
        </w:rPr>
        <w:t>vacuma</w:t>
      </w:r>
      <w:r w:rsidRPr="002E3FD8">
        <w:rPr>
          <w:rFonts w:asciiTheme="majorBidi" w:hAnsiTheme="majorBidi" w:cstheme="majorBidi"/>
          <w:color w:val="000000" w:themeColor="text1"/>
        </w:rPr>
        <w:t xml:space="preserve"> population</w:t>
      </w:r>
      <w:r>
        <w:rPr>
          <w:rFonts w:asciiTheme="majorBidi" w:hAnsiTheme="majorBidi" w:cstheme="majorBidi"/>
          <w:color w:val="000000" w:themeColor="text1"/>
        </w:rPr>
        <w:t xml:space="preserve"> demonstrated </w:t>
      </w:r>
      <w:r w:rsidRPr="002E3FD8">
        <w:rPr>
          <w:rFonts w:asciiTheme="majorBidi" w:hAnsiTheme="majorBidi" w:cstheme="majorBidi"/>
          <w:color w:val="000000" w:themeColor="text1"/>
        </w:rPr>
        <w:t>a lower pathogenic potential as compared to others.</w:t>
      </w:r>
      <w:r w:rsidRPr="002E3FD8">
        <w:rPr>
          <w:rFonts w:asciiTheme="majorBidi" w:hAnsiTheme="majorBidi" w:cstheme="majorBidi" w:hint="cs"/>
          <w:color w:val="000000" w:themeColor="text1"/>
          <w:rtl/>
        </w:rPr>
        <w:t xml:space="preserve"> </w:t>
      </w:r>
      <w:r w:rsidRPr="002E3FD8">
        <w:rPr>
          <w:rFonts w:asciiTheme="majorBidi" w:hAnsiTheme="majorBidi" w:cstheme="majorBidi"/>
          <w:color w:val="000000" w:themeColor="text1"/>
        </w:rPr>
        <w:t xml:space="preserve">Although a correlation between </w:t>
      </w:r>
      <w:r>
        <w:rPr>
          <w:rFonts w:asciiTheme="majorBidi" w:hAnsiTheme="majorBidi" w:cstheme="majorBidi"/>
          <w:color w:val="000000" w:themeColor="text1"/>
        </w:rPr>
        <w:t xml:space="preserve">TE </w:t>
      </w:r>
      <w:r w:rsidRPr="002E3FD8">
        <w:rPr>
          <w:rFonts w:asciiTheme="majorBidi" w:hAnsiTheme="majorBidi" w:cstheme="majorBidi"/>
          <w:color w:val="000000" w:themeColor="text1"/>
        </w:rPr>
        <w:t>and virulence types of isolate was found, no impact of TE type on phenotypic characters was carried out.</w:t>
      </w:r>
    </w:p>
    <w:p w14:paraId="2261C292" w14:textId="77777777" w:rsidR="00E24521" w:rsidRPr="00BE687C" w:rsidRDefault="00E24521" w:rsidP="00E24521">
      <w:pPr>
        <w:adjustRightInd w:val="0"/>
        <w:spacing w:after="240" w:line="360" w:lineRule="auto"/>
        <w:jc w:val="both"/>
        <w:rPr>
          <w:rFonts w:asciiTheme="majorBidi" w:hAnsiTheme="majorBidi" w:cstheme="majorBidi"/>
          <w:color w:val="000000" w:themeColor="text1"/>
          <w:sz w:val="10"/>
          <w:szCs w:val="10"/>
        </w:rPr>
      </w:pPr>
    </w:p>
    <w:p w14:paraId="1B7226A5" w14:textId="47878578" w:rsidR="00E24521" w:rsidRPr="002E3FD8" w:rsidRDefault="00E24521" w:rsidP="00E24521">
      <w:pPr>
        <w:adjustRightInd w:val="0"/>
        <w:spacing w:after="240" w:line="360" w:lineRule="auto"/>
        <w:jc w:val="both"/>
        <w:rPr>
          <w:rFonts w:asciiTheme="majorBidi" w:hAnsiTheme="majorBidi" w:cstheme="majorBidi"/>
          <w:color w:val="000000" w:themeColor="text1"/>
        </w:rPr>
      </w:pPr>
      <w:r w:rsidRPr="00BE687C">
        <w:rPr>
          <w:rFonts w:asciiTheme="majorBidi" w:hAnsiTheme="majorBidi" w:cstheme="majorBidi"/>
          <w:b/>
          <w:bCs/>
          <w:color w:val="000000" w:themeColor="text1"/>
        </w:rPr>
        <w:t>Keywords</w:t>
      </w:r>
      <w:r w:rsidRPr="002E3FD8">
        <w:rPr>
          <w:rFonts w:asciiTheme="majorBidi" w:hAnsiTheme="majorBidi" w:cstheme="majorBidi"/>
          <w:color w:val="000000" w:themeColor="text1"/>
        </w:rPr>
        <w:t xml:space="preserve">: Gray mold, </w:t>
      </w:r>
      <w:r>
        <w:rPr>
          <w:rFonts w:asciiTheme="majorBidi" w:hAnsiTheme="majorBidi" w:cstheme="majorBidi"/>
          <w:color w:val="000000" w:themeColor="text1"/>
        </w:rPr>
        <w:t>m</w:t>
      </w:r>
      <w:r w:rsidRPr="002E3FD8">
        <w:rPr>
          <w:rFonts w:asciiTheme="majorBidi" w:hAnsiTheme="majorBidi" w:cstheme="majorBidi"/>
          <w:color w:val="000000" w:themeColor="text1"/>
        </w:rPr>
        <w:t xml:space="preserve">olecular divergence, </w:t>
      </w:r>
      <w:r>
        <w:rPr>
          <w:rFonts w:asciiTheme="majorBidi" w:hAnsiTheme="majorBidi" w:cstheme="majorBidi"/>
          <w:color w:val="000000" w:themeColor="text1"/>
        </w:rPr>
        <w:t>t</w:t>
      </w:r>
      <w:r w:rsidRPr="002E3FD8">
        <w:rPr>
          <w:rFonts w:asciiTheme="majorBidi" w:hAnsiTheme="majorBidi" w:cstheme="majorBidi"/>
          <w:color w:val="000000" w:themeColor="text1"/>
        </w:rPr>
        <w:t xml:space="preserve">ransposable elements, </w:t>
      </w:r>
      <w:r>
        <w:rPr>
          <w:rFonts w:asciiTheme="majorBidi" w:hAnsiTheme="majorBidi" w:cstheme="majorBidi"/>
          <w:color w:val="000000" w:themeColor="text1"/>
        </w:rPr>
        <w:t>pathogenesis, v</w:t>
      </w:r>
      <w:r w:rsidRPr="002E3FD8">
        <w:rPr>
          <w:rFonts w:asciiTheme="majorBidi" w:hAnsiTheme="majorBidi" w:cstheme="majorBidi"/>
          <w:color w:val="000000" w:themeColor="text1"/>
        </w:rPr>
        <w:t>egetable crops</w:t>
      </w:r>
      <w:r>
        <w:rPr>
          <w:rFonts w:asciiTheme="majorBidi" w:hAnsiTheme="majorBidi" w:cstheme="majorBidi"/>
          <w:color w:val="000000" w:themeColor="text1"/>
        </w:rPr>
        <w:t>.</w:t>
      </w:r>
    </w:p>
    <w:p w14:paraId="054145FC" w14:textId="77777777" w:rsidR="00E24521" w:rsidRDefault="00E24521" w:rsidP="00E24521">
      <w:pPr>
        <w:pStyle w:val="Heading1"/>
        <w:spacing w:before="89"/>
        <w:ind w:left="0" w:firstLine="0"/>
        <w:rPr>
          <w:color w:val="000000" w:themeColor="text1"/>
        </w:rPr>
      </w:pPr>
    </w:p>
    <w:p w14:paraId="3426974F" w14:textId="77777777" w:rsidR="00E24521" w:rsidRPr="003C7B63" w:rsidRDefault="00E24521" w:rsidP="00E24521">
      <w:pPr>
        <w:widowControl w:val="0"/>
        <w:autoSpaceDE w:val="0"/>
        <w:autoSpaceDN w:val="0"/>
        <w:adjustRightInd w:val="0"/>
        <w:spacing w:after="240" w:line="300" w:lineRule="atLeast"/>
        <w:rPr>
          <w:rFonts w:ascii="Times" w:hAnsi="Times" w:cs="Times"/>
          <w:color w:val="000000" w:themeColor="text1"/>
        </w:rPr>
      </w:pPr>
    </w:p>
    <w:p w14:paraId="5A551F4F" w14:textId="77777777" w:rsidR="00304CB5" w:rsidRDefault="00E24521"/>
    <w:sectPr w:rsidR="00304CB5" w:rsidSect="00BC2B17">
      <w:pgSz w:w="11900" w:h="16840"/>
      <w:pgMar w:top="1440" w:right="1246" w:bottom="1440" w:left="129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imes">
    <w:panose1 w:val="02000500000000000000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9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2B17"/>
    <w:rsid w:val="0068480E"/>
    <w:rsid w:val="008C5486"/>
    <w:rsid w:val="00BC2B17"/>
    <w:rsid w:val="00E24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D8E4D77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uiPriority w:val="1"/>
    <w:qFormat/>
    <w:rsid w:val="00BC2B17"/>
    <w:rPr>
      <w:rFonts w:ascii="Times New Roman" w:hAnsi="Times New Roman" w:cs="Times New Roman"/>
    </w:rPr>
  </w:style>
  <w:style w:type="paragraph" w:styleId="Heading1">
    <w:name w:val="heading 1"/>
    <w:basedOn w:val="Normal"/>
    <w:link w:val="Heading1Char"/>
    <w:uiPriority w:val="1"/>
    <w:qFormat/>
    <w:rsid w:val="00E24521"/>
    <w:pPr>
      <w:widowControl w:val="0"/>
      <w:autoSpaceDE w:val="0"/>
      <w:autoSpaceDN w:val="0"/>
      <w:ind w:left="1264" w:hanging="708"/>
      <w:outlineLvl w:val="0"/>
    </w:pPr>
    <w:rPr>
      <w:rFonts w:eastAsia="Times New Roman"/>
      <w:b/>
      <w:bCs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BC2B17"/>
    <w:pPr>
      <w:widowControl w:val="0"/>
      <w:autoSpaceDE w:val="0"/>
      <w:autoSpaceDN w:val="0"/>
    </w:pPr>
    <w:rPr>
      <w:rFonts w:eastAsia="Times New Roman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BC2B17"/>
    <w:rPr>
      <w:rFonts w:ascii="Times New Roman" w:eastAsia="Times New Roman" w:hAnsi="Times New Roman" w:cs="Times New Roman"/>
      <w:lang w:bidi="en-US"/>
    </w:rPr>
  </w:style>
  <w:style w:type="character" w:styleId="Hyperlink">
    <w:name w:val="Hyperlink"/>
    <w:basedOn w:val="DefaultParagraphFont"/>
    <w:uiPriority w:val="99"/>
    <w:unhideWhenUsed/>
    <w:rsid w:val="00BC2B17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uiPriority w:val="1"/>
    <w:rsid w:val="00E24521"/>
    <w:rPr>
      <w:rFonts w:ascii="Times New Roman" w:eastAsia="Times New Roman" w:hAnsi="Times New Roman" w:cs="Times New Roman"/>
      <w:b/>
      <w:bCs/>
      <w:sz w:val="28"/>
      <w:szCs w:val="28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hyperlink" Target="mailto:hala_abdelwahab@agr.asu.edu.eg" TargetMode="Externa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654</Words>
  <Characters>3728</Characters>
  <Application>Microsoft Macintosh Word</Application>
  <DocSecurity>0</DocSecurity>
  <Lines>31</Lines>
  <Paragraphs>8</Paragraphs>
  <ScaleCrop>false</ScaleCrop>
  <LinksUpToDate>false</LinksUpToDate>
  <CharactersWithSpaces>4374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 abdelwahab</dc:creator>
  <cp:keywords/>
  <dc:description/>
  <cp:lastModifiedBy>hala abdelwahab</cp:lastModifiedBy>
  <cp:revision>2</cp:revision>
  <dcterms:created xsi:type="dcterms:W3CDTF">2019-04-10T18:09:00Z</dcterms:created>
  <dcterms:modified xsi:type="dcterms:W3CDTF">2019-04-10T18:14:00Z</dcterms:modified>
</cp:coreProperties>
</file>