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0A" w:rsidRPr="00323611" w:rsidRDefault="0071230A" w:rsidP="00323611">
      <w:pPr>
        <w:rPr>
          <w:rFonts w:ascii="Times New Roman" w:hAnsi="Times New Roman" w:cs="Times New Roman"/>
          <w:b/>
          <w:sz w:val="32"/>
        </w:rPr>
      </w:pPr>
      <w:r w:rsidRPr="00323611">
        <w:rPr>
          <w:rFonts w:ascii="Times New Roman" w:hAnsi="Times New Roman" w:cs="Times New Roman"/>
          <w:b/>
          <w:sz w:val="32"/>
        </w:rPr>
        <w:t xml:space="preserve">The </w:t>
      </w:r>
      <w:r w:rsidRPr="00323611">
        <w:rPr>
          <w:rFonts w:ascii="Times New Roman" w:hAnsi="Times New Roman" w:cs="Times New Roman"/>
          <w:b/>
          <w:i/>
          <w:iCs/>
          <w:sz w:val="32"/>
        </w:rPr>
        <w:t xml:space="preserve">Staphylococcus </w:t>
      </w:r>
      <w:proofErr w:type="spellStart"/>
      <w:r w:rsidRPr="00323611">
        <w:rPr>
          <w:rFonts w:ascii="Times New Roman" w:hAnsi="Times New Roman" w:cs="Times New Roman"/>
          <w:b/>
          <w:i/>
          <w:iCs/>
          <w:sz w:val="32"/>
        </w:rPr>
        <w:t>aureus</w:t>
      </w:r>
      <w:proofErr w:type="spellEnd"/>
      <w:r w:rsidRPr="00323611">
        <w:rPr>
          <w:rFonts w:ascii="Times New Roman" w:hAnsi="Times New Roman" w:cs="Times New Roman"/>
          <w:b/>
          <w:sz w:val="32"/>
          <w:lang w:val="en-NZ"/>
        </w:rPr>
        <w:t xml:space="preserve"> strains</w:t>
      </w:r>
      <w:r w:rsidRPr="00323611">
        <w:rPr>
          <w:rFonts w:ascii="Times New Roman" w:hAnsi="Times New Roman" w:cs="Times New Roman"/>
          <w:b/>
          <w:sz w:val="32"/>
        </w:rPr>
        <w:t xml:space="preserve"> WH9628 and WH3018 recovered from patients in Wuhan, China, were found to carry in their genomes specifically some horse and mouse genetic loci</w:t>
      </w:r>
    </w:p>
    <w:p w:rsidR="00323611" w:rsidRDefault="0071230A" w:rsidP="00323611">
      <w:pPr>
        <w:rPr>
          <w:rFonts w:ascii="Times New Roman" w:hAnsi="Times New Roman" w:cs="Times New Roman"/>
          <w:sz w:val="24"/>
        </w:rPr>
      </w:pPr>
      <w:r w:rsidRPr="00323611">
        <w:rPr>
          <w:rFonts w:ascii="Times New Roman" w:hAnsi="Times New Roman" w:cs="Times New Roman"/>
          <w:sz w:val="24"/>
        </w:rPr>
        <w:t xml:space="preserve"> Mamuka Kotetishvili </w:t>
      </w:r>
    </w:p>
    <w:p w:rsidR="0071230A" w:rsidRPr="00323611" w:rsidRDefault="0071230A" w:rsidP="00323611">
      <w:pPr>
        <w:rPr>
          <w:rFonts w:ascii="Times New Roman" w:hAnsi="Times New Roman" w:cs="Times New Roman"/>
        </w:rPr>
      </w:pPr>
      <w:r w:rsidRPr="00323611">
        <w:rPr>
          <w:rFonts w:ascii="Times New Roman" w:hAnsi="Times New Roman" w:cs="Times New Roman"/>
        </w:rPr>
        <w:t>The University of Georgia, Georgia</w:t>
      </w:r>
    </w:p>
    <w:p w:rsidR="0071230A" w:rsidRPr="00323611" w:rsidRDefault="00323611" w:rsidP="00323611">
      <w:pPr>
        <w:jc w:val="center"/>
        <w:rPr>
          <w:rFonts w:ascii="Times New Roman" w:hAnsi="Times New Roman" w:cs="Times New Roman"/>
          <w:b/>
          <w:sz w:val="24"/>
        </w:rPr>
      </w:pPr>
      <w:r w:rsidRPr="00323611">
        <w:rPr>
          <w:rFonts w:ascii="Times New Roman" w:hAnsi="Times New Roman" w:cs="Times New Roman"/>
          <w:b/>
          <w:sz w:val="24"/>
        </w:rPr>
        <w:t>Abstract</w:t>
      </w:r>
    </w:p>
    <w:p w:rsidR="008B22D1" w:rsidRPr="00323611" w:rsidRDefault="0071230A" w:rsidP="00323611">
      <w:pPr>
        <w:jc w:val="both"/>
        <w:rPr>
          <w:rFonts w:ascii="Times New Roman" w:hAnsi="Times New Roman" w:cs="Times New Roman"/>
          <w:sz w:val="20"/>
        </w:rPr>
      </w:pPr>
      <w:r w:rsidRPr="00323611">
        <w:rPr>
          <w:rFonts w:ascii="Times New Roman" w:hAnsi="Times New Roman" w:cs="Times New Roman"/>
          <w:sz w:val="20"/>
        </w:rPr>
        <w:t xml:space="preserve">The gene flow from eukaryotes to prokaryotes has been rarely documented. Here, we provide strong evidence for the presence of multiple eukaryotic genetic loci across the genomes of two </w:t>
      </w:r>
      <w:r w:rsidRPr="00323611">
        <w:rPr>
          <w:rFonts w:ascii="Times New Roman" w:hAnsi="Times New Roman" w:cs="Times New Roman"/>
          <w:i/>
          <w:sz w:val="20"/>
        </w:rPr>
        <w:t xml:space="preserve">Staphylococcus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strains (WH9628 and WH3018) recovered from patients in Wuhan, China. For the analysis, the genome sequences of these isolates (</w:t>
      </w:r>
      <w:proofErr w:type="spellStart"/>
      <w:r w:rsidRPr="00323611">
        <w:rPr>
          <w:rFonts w:ascii="Times New Roman" w:hAnsi="Times New Roman" w:cs="Times New Roman"/>
          <w:sz w:val="20"/>
        </w:rPr>
        <w:t>GenBank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ID: CP033086.1 and CP033085.1 respectively) were retrieved from the National </w:t>
      </w:r>
      <w:proofErr w:type="spellStart"/>
      <w:r w:rsidRPr="00323611">
        <w:rPr>
          <w:rFonts w:ascii="Times New Roman" w:hAnsi="Times New Roman" w:cs="Times New Roman"/>
          <w:sz w:val="20"/>
        </w:rPr>
        <w:t>Center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for Biotechnology Information (NCBI) database (https://www.ncbi.nlm.nih.gov/). The Basic Local Alignment Search Tool (BLAST) with the </w:t>
      </w:r>
      <w:proofErr w:type="spellStart"/>
      <w:r w:rsidRPr="00323611">
        <w:rPr>
          <w:rFonts w:ascii="Times New Roman" w:hAnsi="Times New Roman" w:cs="Times New Roman"/>
          <w:sz w:val="20"/>
        </w:rPr>
        <w:t>megablast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algorithm was used to </w:t>
      </w:r>
      <w:proofErr w:type="spellStart"/>
      <w:r w:rsidRPr="00323611">
        <w:rPr>
          <w:rFonts w:ascii="Times New Roman" w:hAnsi="Times New Roman" w:cs="Times New Roman"/>
          <w:sz w:val="20"/>
        </w:rPr>
        <w:t>analyze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the above genomes in the </w:t>
      </w:r>
      <w:proofErr w:type="spellStart"/>
      <w:r w:rsidRPr="00323611">
        <w:rPr>
          <w:rFonts w:ascii="Times New Roman" w:hAnsi="Times New Roman" w:cs="Times New Roman"/>
          <w:sz w:val="20"/>
        </w:rPr>
        <w:t>blastn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database, searching for their homologous genetic loci across eukaryotic genomes (</w:t>
      </w:r>
      <w:proofErr w:type="spellStart"/>
      <w:r w:rsidRPr="00323611">
        <w:rPr>
          <w:rFonts w:ascii="Times New Roman" w:hAnsi="Times New Roman" w:cs="Times New Roman"/>
          <w:sz w:val="20"/>
        </w:rPr>
        <w:t>taxid</w:t>
      </w:r>
      <w:proofErr w:type="spellEnd"/>
      <w:r w:rsidRPr="00323611">
        <w:rPr>
          <w:rFonts w:ascii="Times New Roman" w:hAnsi="Times New Roman" w:cs="Times New Roman"/>
          <w:sz w:val="20"/>
        </w:rPr>
        <w:t>:</w:t>
      </w:r>
      <w:r w:rsidR="00323611">
        <w:rPr>
          <w:rFonts w:ascii="Times New Roman" w:hAnsi="Times New Roman" w:cs="Times New Roman"/>
          <w:sz w:val="20"/>
        </w:rPr>
        <w:t xml:space="preserve"> </w:t>
      </w:r>
      <w:r w:rsidRPr="00323611">
        <w:rPr>
          <w:rFonts w:ascii="Times New Roman" w:hAnsi="Times New Roman" w:cs="Times New Roman"/>
          <w:sz w:val="20"/>
        </w:rPr>
        <w:t xml:space="preserve">2759). The BLAST analysis revealed some genomic regions of WH9628 (coordinates: 1824194-1825284; 2314137-2315140; 2371864-2374095; 2375255-2375737; 2412402-2414300; 2426281-2428460; 2440327-2440672) that shared 91.91%-100% of the DNA identity with </w:t>
      </w:r>
      <w:bookmarkStart w:id="0" w:name="_GoBack"/>
      <w:bookmarkEnd w:id="0"/>
      <w:r w:rsidRPr="00323611">
        <w:rPr>
          <w:rFonts w:ascii="Times New Roman" w:hAnsi="Times New Roman" w:cs="Times New Roman"/>
          <w:sz w:val="20"/>
        </w:rPr>
        <w:t xml:space="preserve">specific chromosomal loci of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Equus</w:t>
      </w:r>
      <w:proofErr w:type="spellEnd"/>
      <w:r w:rsidRPr="00323611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caballus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(KY753876.1 and MH341179.1) and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Mus</w:t>
      </w:r>
      <w:proofErr w:type="spellEnd"/>
      <w:r w:rsidRPr="00323611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musculus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(MN537869.1). Similarly, specific genomic regions of WH3018 (coordinates: 2067827-2069293; 2266722-2267786; 2656308-2658513; 2683607-2685428; 2721525-2723219) were found to share 96.77%-100% of the DNA identity with these or other genetic loci of the same eukaryotic species.</w:t>
      </w:r>
      <w:r w:rsidR="00323611">
        <w:rPr>
          <w:rFonts w:ascii="Times New Roman" w:hAnsi="Times New Roman" w:cs="Times New Roman"/>
          <w:sz w:val="20"/>
        </w:rPr>
        <w:t xml:space="preserve"> </w:t>
      </w:r>
      <w:r w:rsidRPr="00323611">
        <w:rPr>
          <w:rFonts w:ascii="Times New Roman" w:hAnsi="Times New Roman" w:cs="Times New Roman"/>
          <w:sz w:val="20"/>
        </w:rPr>
        <w:t xml:space="preserve">The above BLAST-hit results were accompanied by strong E-values varying from 0.0 to 8e-132 (with 98%-100% of query coverage). While some of these genomic regions of the </w:t>
      </w:r>
      <w:r w:rsidRPr="00323611">
        <w:rPr>
          <w:rFonts w:ascii="Times New Roman" w:hAnsi="Times New Roman" w:cs="Times New Roman"/>
          <w:i/>
          <w:sz w:val="20"/>
        </w:rPr>
        <w:t xml:space="preserve">S.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strains WH9628 and WH3018 were determined to be identical/highly homologous (91.91%-99.79%) to the KCNQ1 gene loci in </w:t>
      </w:r>
      <w:r w:rsidRPr="00323611">
        <w:rPr>
          <w:rFonts w:ascii="Times New Roman" w:hAnsi="Times New Roman" w:cs="Times New Roman"/>
          <w:i/>
          <w:sz w:val="20"/>
        </w:rPr>
        <w:t xml:space="preserve">E.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caballus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, others were identical/very highly homologous to the small subunit ribosomal RNA gene loci (100%), the gene encoding for the eukaryotic translation elongation factor 1 alpha 1 (99.94%), or the Gene H19 locus (100%) in </w:t>
      </w:r>
      <w:r w:rsidRPr="00323611">
        <w:rPr>
          <w:rFonts w:ascii="Times New Roman" w:hAnsi="Times New Roman" w:cs="Times New Roman"/>
          <w:i/>
          <w:sz w:val="20"/>
        </w:rPr>
        <w:t xml:space="preserve">M. </w:t>
      </w:r>
      <w:proofErr w:type="spellStart"/>
      <w:r w:rsidRPr="00323611">
        <w:rPr>
          <w:rFonts w:ascii="Times New Roman" w:hAnsi="Times New Roman" w:cs="Times New Roman"/>
          <w:i/>
          <w:sz w:val="20"/>
        </w:rPr>
        <w:t>musculus</w:t>
      </w:r>
      <w:proofErr w:type="spellEnd"/>
      <w:r w:rsidRPr="00323611">
        <w:rPr>
          <w:rFonts w:ascii="Times New Roman" w:hAnsi="Times New Roman" w:cs="Times New Roman"/>
          <w:sz w:val="20"/>
        </w:rPr>
        <w:t>. It remains unclear and needs to be determined whether the acquired eukaryotic genetic loci have any effect on metabolic plasticity, virulence, and pathogenicity in these strains, and/or on their adaptation to new environments.</w:t>
      </w:r>
    </w:p>
    <w:p w:rsidR="0071230A" w:rsidRPr="00323611" w:rsidRDefault="00323611" w:rsidP="00323611">
      <w:pPr>
        <w:rPr>
          <w:rFonts w:ascii="Times New Roman" w:hAnsi="Times New Roman" w:cs="Times New Roman"/>
          <w:b/>
          <w:sz w:val="24"/>
        </w:rPr>
      </w:pPr>
      <w:r w:rsidRPr="00323611">
        <w:rPr>
          <w:rFonts w:ascii="Times New Roman" w:hAnsi="Times New Roman" w:cs="Times New Roman"/>
          <w:b/>
          <w:sz w:val="24"/>
        </w:rPr>
        <w:t>Biography</w:t>
      </w:r>
    </w:p>
    <w:p w:rsidR="0071230A" w:rsidRPr="00323611" w:rsidRDefault="0071230A" w:rsidP="00323611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23611">
        <w:rPr>
          <w:rFonts w:ascii="Times New Roman" w:hAnsi="Times New Roman" w:cs="Times New Roman"/>
          <w:sz w:val="20"/>
        </w:rPr>
        <w:t>Mamuka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23611">
        <w:rPr>
          <w:rFonts w:ascii="Times New Roman" w:hAnsi="Times New Roman" w:cs="Times New Roman"/>
          <w:sz w:val="20"/>
        </w:rPr>
        <w:t>Kotetishvili’s</w:t>
      </w:r>
      <w:proofErr w:type="spellEnd"/>
      <w:r w:rsidRPr="00323611">
        <w:rPr>
          <w:rFonts w:ascii="Times New Roman" w:hAnsi="Times New Roman" w:cs="Times New Roman"/>
          <w:sz w:val="20"/>
        </w:rPr>
        <w:t xml:space="preserve"> main expertise lies in the areas of molecular epidemiology and evolution of infectious agents including foodborne and zoonotic pathogens. Currently, his primary occupation is a leading of the biomedical research, working in a capacity of Deputy Director of Science and Foreign Relations, at </w:t>
      </w:r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the G. </w:t>
      </w:r>
      <w:proofErr w:type="spellStart"/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>Natadze</w:t>
      </w:r>
      <w:proofErr w:type="spellEnd"/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 Scientific-Research Institute of Sanitary, Hygiene, and Medical Ecology (GNHI), Tbilisi, Georgia. </w:t>
      </w:r>
      <w:r w:rsidR="00323611">
        <w:rPr>
          <w:rFonts w:ascii="Times New Roman" w:hAnsi="Times New Roman" w:cs="Times New Roman"/>
          <w:sz w:val="20"/>
          <w:bdr w:val="none" w:sz="0" w:space="0" w:color="auto" w:frame="1"/>
        </w:rPr>
        <w:t>He</w:t>
      </w:r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 has pioneered his research on the molecular typing of some important foodborne and other pathogens, including, but not limited to, </w:t>
      </w:r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 xml:space="preserve">Salmonella </w:t>
      </w:r>
      <w:proofErr w:type="spellStart"/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>enteritidis</w:t>
      </w:r>
      <w:proofErr w:type="spellEnd"/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, </w:t>
      </w:r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 xml:space="preserve">Listeria </w:t>
      </w:r>
      <w:proofErr w:type="spellStart"/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>monocytogenes</w:t>
      </w:r>
      <w:proofErr w:type="spellEnd"/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, </w:t>
      </w:r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 xml:space="preserve">Vibrio </w:t>
      </w:r>
      <w:proofErr w:type="spellStart"/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>Cholerae</w:t>
      </w:r>
      <w:proofErr w:type="spellEnd"/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, and the species of </w:t>
      </w:r>
      <w:r w:rsidRPr="00323611">
        <w:rPr>
          <w:rFonts w:ascii="Times New Roman" w:hAnsi="Times New Roman" w:cs="Times New Roman"/>
          <w:i/>
          <w:iCs/>
          <w:sz w:val="20"/>
          <w:bdr w:val="none" w:sz="0" w:space="0" w:color="auto" w:frame="1"/>
        </w:rPr>
        <w:t>Yersinia</w:t>
      </w:r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. His most recent studies have provided some important insights into the evolution of bacteriophages and antimicrobial resistance. </w:t>
      </w:r>
      <w:r w:rsidR="00323611">
        <w:rPr>
          <w:rFonts w:ascii="Times New Roman" w:hAnsi="Times New Roman" w:cs="Times New Roman"/>
          <w:sz w:val="20"/>
          <w:bdr w:val="none" w:sz="0" w:space="0" w:color="auto" w:frame="1"/>
        </w:rPr>
        <w:t>He</w:t>
      </w:r>
      <w:r w:rsidRPr="00323611">
        <w:rPr>
          <w:rFonts w:ascii="Times New Roman" w:hAnsi="Times New Roman" w:cs="Times New Roman"/>
          <w:sz w:val="20"/>
          <w:bdr w:val="none" w:sz="0" w:space="0" w:color="auto" w:frame="1"/>
        </w:rPr>
        <w:t xml:space="preserve"> has served as an Editorial Board Member and/or an Ad-hoc Reviewer for various internationally well-respected scientific journals including Journal of Clinical Microbiology, Journal of Bacteriology, and Journal of Virology. </w:t>
      </w:r>
    </w:p>
    <w:sectPr w:rsidR="0071230A" w:rsidRPr="00323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0A"/>
    <w:rsid w:val="00323611"/>
    <w:rsid w:val="0071230A"/>
    <w:rsid w:val="008B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7123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712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renewableenergy2021</dc:creator>
  <cp:lastModifiedBy>Swetha Sandala</cp:lastModifiedBy>
  <cp:revision>2</cp:revision>
  <dcterms:created xsi:type="dcterms:W3CDTF">2022-10-03T06:13:00Z</dcterms:created>
  <dcterms:modified xsi:type="dcterms:W3CDTF">2022-10-03T08:32:00Z</dcterms:modified>
</cp:coreProperties>
</file>