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3FC52E" w14:textId="1CC9C3B9" w:rsidR="00D55DD2" w:rsidRPr="000A7C9D" w:rsidRDefault="00D55DD2" w:rsidP="000A7C9D">
      <w:pPr>
        <w:spacing w:after="200" w:line="276" w:lineRule="auto"/>
        <w:rPr>
          <w:rFonts w:ascii="Times New Roman" w:hAnsi="Times New Roman" w:cs="Times New Roman"/>
          <w:b/>
          <w:sz w:val="32"/>
        </w:rPr>
      </w:pPr>
      <w:r w:rsidRPr="000A7C9D">
        <w:rPr>
          <w:rFonts w:ascii="Times New Roman" w:hAnsi="Times New Roman" w:cs="Times New Roman"/>
          <w:b/>
          <w:sz w:val="32"/>
        </w:rPr>
        <w:t xml:space="preserve">Evaluation of NLR and PLR in </w:t>
      </w:r>
      <w:r w:rsidR="000A7C9D">
        <w:rPr>
          <w:rFonts w:ascii="Times New Roman" w:hAnsi="Times New Roman" w:cs="Times New Roman"/>
          <w:b/>
          <w:sz w:val="32"/>
        </w:rPr>
        <w:t xml:space="preserve">immune thrombocytopenic </w:t>
      </w:r>
      <w:proofErr w:type="spellStart"/>
      <w:r w:rsidR="000A7C9D">
        <w:rPr>
          <w:rFonts w:ascii="Times New Roman" w:hAnsi="Times New Roman" w:cs="Times New Roman"/>
          <w:b/>
          <w:sz w:val="32"/>
        </w:rPr>
        <w:t>purpura</w:t>
      </w:r>
      <w:proofErr w:type="spellEnd"/>
      <w:r w:rsidR="000A7C9D">
        <w:rPr>
          <w:rFonts w:ascii="Times New Roman" w:hAnsi="Times New Roman" w:cs="Times New Roman"/>
          <w:b/>
          <w:sz w:val="32"/>
        </w:rPr>
        <w:t>:</w:t>
      </w:r>
      <w:r w:rsidRPr="000A7C9D">
        <w:rPr>
          <w:rFonts w:ascii="Times New Roman" w:hAnsi="Times New Roman" w:cs="Times New Roman"/>
          <w:b/>
          <w:sz w:val="32"/>
        </w:rPr>
        <w:t xml:space="preserve"> </w:t>
      </w:r>
      <w:r w:rsidR="000A7C9D">
        <w:rPr>
          <w:rFonts w:ascii="Times New Roman" w:hAnsi="Times New Roman" w:cs="Times New Roman"/>
          <w:b/>
          <w:sz w:val="32"/>
        </w:rPr>
        <w:t>I</w:t>
      </w:r>
      <w:r w:rsidR="000A7C9D" w:rsidRPr="000A7C9D">
        <w:rPr>
          <w:rFonts w:ascii="Times New Roman" w:hAnsi="Times New Roman" w:cs="Times New Roman"/>
          <w:b/>
          <w:sz w:val="32"/>
        </w:rPr>
        <w:t>s</w:t>
      </w:r>
      <w:r w:rsidRPr="000A7C9D">
        <w:rPr>
          <w:rFonts w:ascii="Times New Roman" w:hAnsi="Times New Roman" w:cs="Times New Roman"/>
          <w:b/>
          <w:sz w:val="32"/>
        </w:rPr>
        <w:t xml:space="preserve"> it worth doing? </w:t>
      </w:r>
    </w:p>
    <w:p w14:paraId="747C4D26" w14:textId="3A568431" w:rsidR="00D55DD2" w:rsidRPr="000A7C9D" w:rsidRDefault="00D55DD2" w:rsidP="000A7C9D">
      <w:pPr>
        <w:spacing w:after="200" w:line="276" w:lineRule="auto"/>
        <w:rPr>
          <w:rFonts w:ascii="Times New Roman" w:hAnsi="Times New Roman" w:cs="Times New Roman"/>
          <w:sz w:val="24"/>
        </w:rPr>
      </w:pPr>
      <w:r w:rsidRPr="000A7C9D">
        <w:rPr>
          <w:rFonts w:ascii="Times New Roman" w:hAnsi="Times New Roman" w:cs="Times New Roman"/>
          <w:sz w:val="24"/>
        </w:rPr>
        <w:t xml:space="preserve">Aisha </w:t>
      </w:r>
      <w:proofErr w:type="spellStart"/>
      <w:r w:rsidRPr="000A7C9D">
        <w:rPr>
          <w:rFonts w:ascii="Times New Roman" w:hAnsi="Times New Roman" w:cs="Times New Roman"/>
          <w:sz w:val="24"/>
        </w:rPr>
        <w:t>Arshad</w:t>
      </w:r>
      <w:proofErr w:type="spellEnd"/>
      <w:r w:rsidRPr="000A7C9D">
        <w:rPr>
          <w:rFonts w:ascii="Times New Roman" w:hAnsi="Times New Roman" w:cs="Times New Roman"/>
          <w:sz w:val="24"/>
        </w:rPr>
        <w:t xml:space="preserve">*, </w:t>
      </w:r>
      <w:proofErr w:type="spellStart"/>
      <w:r w:rsidRPr="000A7C9D">
        <w:rPr>
          <w:rFonts w:ascii="Times New Roman" w:hAnsi="Times New Roman" w:cs="Times New Roman"/>
          <w:sz w:val="24"/>
        </w:rPr>
        <w:t>Samina</w:t>
      </w:r>
      <w:proofErr w:type="spellEnd"/>
      <w:r w:rsidRPr="000A7C9D">
        <w:rPr>
          <w:rFonts w:ascii="Times New Roman" w:hAnsi="Times New Roman" w:cs="Times New Roman"/>
          <w:sz w:val="24"/>
        </w:rPr>
        <w:t xml:space="preserve"> </w:t>
      </w:r>
      <w:proofErr w:type="spellStart"/>
      <w:r w:rsidRPr="000A7C9D">
        <w:rPr>
          <w:rFonts w:ascii="Times New Roman" w:hAnsi="Times New Roman" w:cs="Times New Roman"/>
          <w:sz w:val="24"/>
        </w:rPr>
        <w:t>Naz</w:t>
      </w:r>
      <w:proofErr w:type="spellEnd"/>
      <w:r w:rsidRPr="000A7C9D">
        <w:rPr>
          <w:rFonts w:ascii="Times New Roman" w:hAnsi="Times New Roman" w:cs="Times New Roman"/>
          <w:sz w:val="24"/>
        </w:rPr>
        <w:t xml:space="preserve"> </w:t>
      </w:r>
      <w:proofErr w:type="spellStart"/>
      <w:r w:rsidRPr="000A7C9D">
        <w:rPr>
          <w:rFonts w:ascii="Times New Roman" w:hAnsi="Times New Roman" w:cs="Times New Roman"/>
          <w:sz w:val="24"/>
        </w:rPr>
        <w:t>Mukry</w:t>
      </w:r>
      <w:proofErr w:type="spellEnd"/>
      <w:r w:rsidRPr="000A7C9D">
        <w:rPr>
          <w:rFonts w:ascii="Times New Roman" w:hAnsi="Times New Roman" w:cs="Times New Roman"/>
          <w:sz w:val="24"/>
        </w:rPr>
        <w:t xml:space="preserve"> and </w:t>
      </w:r>
      <w:proofErr w:type="spellStart"/>
      <w:r w:rsidRPr="000A7C9D">
        <w:rPr>
          <w:rFonts w:ascii="Times New Roman" w:hAnsi="Times New Roman" w:cs="Times New Roman"/>
          <w:sz w:val="24"/>
        </w:rPr>
        <w:t>Tahir</w:t>
      </w:r>
      <w:proofErr w:type="spellEnd"/>
      <w:r w:rsidRPr="000A7C9D">
        <w:rPr>
          <w:rFonts w:ascii="Times New Roman" w:hAnsi="Times New Roman" w:cs="Times New Roman"/>
          <w:sz w:val="24"/>
        </w:rPr>
        <w:t xml:space="preserve"> </w:t>
      </w:r>
      <w:proofErr w:type="spellStart"/>
      <w:r w:rsidRPr="000A7C9D">
        <w:rPr>
          <w:rFonts w:ascii="Times New Roman" w:hAnsi="Times New Roman" w:cs="Times New Roman"/>
          <w:sz w:val="24"/>
        </w:rPr>
        <w:t>Shamsi</w:t>
      </w:r>
      <w:proofErr w:type="spellEnd"/>
      <w:r w:rsidRPr="000A7C9D">
        <w:rPr>
          <w:rFonts w:ascii="Times New Roman" w:hAnsi="Times New Roman" w:cs="Times New Roman"/>
          <w:sz w:val="24"/>
        </w:rPr>
        <w:t xml:space="preserve"> </w:t>
      </w:r>
    </w:p>
    <w:p w14:paraId="2C3D296A" w14:textId="1FF7852C" w:rsidR="00D55DD2" w:rsidRPr="000A7C9D" w:rsidRDefault="000A7C9D" w:rsidP="000A7C9D">
      <w:pPr>
        <w:spacing w:after="200" w:line="276" w:lineRule="auto"/>
        <w:rPr>
          <w:rFonts w:ascii="Times New Roman" w:hAnsi="Times New Roman" w:cs="Times New Roman"/>
        </w:rPr>
      </w:pPr>
      <w:r w:rsidRPr="000A7C9D">
        <w:rPr>
          <w:rFonts w:ascii="Times New Roman" w:hAnsi="Times New Roman" w:cs="Times New Roman"/>
        </w:rPr>
        <w:t>National Institute of Blood Disease &amp; Bone Marrow Transp</w:t>
      </w:r>
      <w:bookmarkStart w:id="0" w:name="_GoBack"/>
      <w:bookmarkEnd w:id="0"/>
      <w:r w:rsidRPr="000A7C9D">
        <w:rPr>
          <w:rFonts w:ascii="Times New Roman" w:hAnsi="Times New Roman" w:cs="Times New Roman"/>
        </w:rPr>
        <w:t>lantation</w:t>
      </w:r>
      <w:r w:rsidR="004853D1" w:rsidRPr="000A7C9D">
        <w:rPr>
          <w:rFonts w:ascii="Times New Roman" w:hAnsi="Times New Roman" w:cs="Times New Roman"/>
        </w:rPr>
        <w:t>, Pakistan</w:t>
      </w:r>
    </w:p>
    <w:p w14:paraId="57836A03" w14:textId="59D4728A" w:rsidR="00D55DD2" w:rsidRPr="000A7C9D" w:rsidRDefault="00D55DD2" w:rsidP="000A7C9D">
      <w:pPr>
        <w:spacing w:after="200" w:line="276" w:lineRule="auto"/>
        <w:jc w:val="center"/>
        <w:rPr>
          <w:rFonts w:ascii="Times New Roman" w:hAnsi="Times New Roman" w:cs="Times New Roman"/>
          <w:b/>
          <w:sz w:val="24"/>
        </w:rPr>
      </w:pPr>
      <w:r w:rsidRPr="000A7C9D">
        <w:rPr>
          <w:rFonts w:ascii="Times New Roman" w:hAnsi="Times New Roman" w:cs="Times New Roman"/>
          <w:b/>
          <w:sz w:val="24"/>
        </w:rPr>
        <w:t>Abstract</w:t>
      </w:r>
    </w:p>
    <w:p w14:paraId="3D4C8923" w14:textId="7751944B" w:rsidR="00D55DD2" w:rsidRPr="000A7C9D" w:rsidRDefault="00D55DD2" w:rsidP="000A7C9D">
      <w:pPr>
        <w:spacing w:after="200" w:line="276" w:lineRule="auto"/>
        <w:jc w:val="both"/>
        <w:rPr>
          <w:rFonts w:ascii="Times New Roman" w:hAnsi="Times New Roman" w:cs="Times New Roman"/>
          <w:sz w:val="20"/>
        </w:rPr>
      </w:pPr>
      <w:r w:rsidRPr="000A7C9D">
        <w:rPr>
          <w:rFonts w:ascii="Times New Roman" w:hAnsi="Times New Roman" w:cs="Times New Roman"/>
          <w:b/>
          <w:sz w:val="20"/>
        </w:rPr>
        <w:t>Background:</w:t>
      </w:r>
      <w:r w:rsidRPr="000A7C9D">
        <w:rPr>
          <w:rFonts w:ascii="Times New Roman" w:hAnsi="Times New Roman" w:cs="Times New Roman"/>
          <w:sz w:val="20"/>
        </w:rPr>
        <w:t xml:space="preserve"> Immune </w:t>
      </w:r>
      <w:r w:rsidR="000A7C9D">
        <w:rPr>
          <w:rFonts w:ascii="Times New Roman" w:hAnsi="Times New Roman" w:cs="Times New Roman"/>
          <w:sz w:val="20"/>
        </w:rPr>
        <w:t>T</w:t>
      </w:r>
      <w:r w:rsidRPr="000A7C9D">
        <w:rPr>
          <w:rFonts w:ascii="Times New Roman" w:hAnsi="Times New Roman" w:cs="Times New Roman"/>
          <w:sz w:val="20"/>
        </w:rPr>
        <w:t xml:space="preserve">hrombocytopenia (ITP) is an autoimmune disorder. Besides platelets counts, </w:t>
      </w:r>
      <w:r w:rsidR="000A7C9D" w:rsidRPr="000A7C9D">
        <w:rPr>
          <w:rFonts w:ascii="Times New Roman" w:hAnsi="Times New Roman" w:cs="Times New Roman"/>
          <w:sz w:val="20"/>
        </w:rPr>
        <w:t>Immature Platelets Fraction</w:t>
      </w:r>
      <w:r w:rsidRPr="000A7C9D">
        <w:rPr>
          <w:rFonts w:ascii="Times New Roman" w:hAnsi="Times New Roman" w:cs="Times New Roman"/>
          <w:sz w:val="20"/>
        </w:rPr>
        <w:t xml:space="preserve"> (IPF) can be used as tool to predict megakaryocytic activity in ITP patients. The clinical biomarkers like Neutrophils to </w:t>
      </w:r>
      <w:r w:rsidR="000A7C9D">
        <w:rPr>
          <w:rFonts w:ascii="Times New Roman" w:hAnsi="Times New Roman" w:cs="Times New Roman"/>
          <w:sz w:val="20"/>
        </w:rPr>
        <w:t>L</w:t>
      </w:r>
      <w:r w:rsidRPr="000A7C9D">
        <w:rPr>
          <w:rFonts w:ascii="Times New Roman" w:hAnsi="Times New Roman" w:cs="Times New Roman"/>
          <w:sz w:val="20"/>
        </w:rPr>
        <w:t xml:space="preserve">ymphocytes </w:t>
      </w:r>
      <w:r w:rsidR="000A7C9D">
        <w:rPr>
          <w:rFonts w:ascii="Times New Roman" w:hAnsi="Times New Roman" w:cs="Times New Roman"/>
          <w:sz w:val="20"/>
        </w:rPr>
        <w:t>R</w:t>
      </w:r>
      <w:r w:rsidRPr="000A7C9D">
        <w:rPr>
          <w:rFonts w:ascii="Times New Roman" w:hAnsi="Times New Roman" w:cs="Times New Roman"/>
          <w:sz w:val="20"/>
        </w:rPr>
        <w:t xml:space="preserve">atio (NLR) and </w:t>
      </w:r>
      <w:r w:rsidR="000A7C9D" w:rsidRPr="000A7C9D">
        <w:rPr>
          <w:rFonts w:ascii="Times New Roman" w:hAnsi="Times New Roman" w:cs="Times New Roman"/>
          <w:sz w:val="20"/>
        </w:rPr>
        <w:t xml:space="preserve">Platelet to Lymphocytes Ratio </w:t>
      </w:r>
      <w:r w:rsidRPr="000A7C9D">
        <w:rPr>
          <w:rFonts w:ascii="Times New Roman" w:hAnsi="Times New Roman" w:cs="Times New Roman"/>
          <w:sz w:val="20"/>
        </w:rPr>
        <w:t xml:space="preserve">(PLR) predicts inflammation and can be used as prognostic markers. The current study was planned to evaluate utility of NLR and PLR in ITP diagnosis and their association with disease prognosis and response to treatment. </w:t>
      </w:r>
    </w:p>
    <w:p w14:paraId="3C8FB0FA" w14:textId="5FE6F9ED" w:rsidR="00D55DD2" w:rsidRPr="000A7C9D" w:rsidRDefault="00D55DD2" w:rsidP="000A7C9D">
      <w:pPr>
        <w:spacing w:after="200" w:line="276" w:lineRule="auto"/>
        <w:jc w:val="both"/>
        <w:rPr>
          <w:rFonts w:ascii="Times New Roman" w:hAnsi="Times New Roman" w:cs="Times New Roman"/>
          <w:sz w:val="20"/>
        </w:rPr>
      </w:pPr>
      <w:r w:rsidRPr="000A7C9D">
        <w:rPr>
          <w:rFonts w:ascii="Times New Roman" w:hAnsi="Times New Roman" w:cs="Times New Roman"/>
          <w:b/>
          <w:sz w:val="20"/>
        </w:rPr>
        <w:t>Methods:</w:t>
      </w:r>
      <w:r w:rsidRPr="000A7C9D">
        <w:rPr>
          <w:rFonts w:ascii="Times New Roman" w:hAnsi="Times New Roman" w:cs="Times New Roman"/>
          <w:sz w:val="20"/>
        </w:rPr>
        <w:t xml:space="preserve"> A case control study (1:1) was conducted from January 2015 to December 2017 with 111 ITP patients and 111 healthy controls. ITP patients were grouped as newly diagnosed ITP, persistent ITP, chronic ITP and refractory ITP patients. Peripheral blood was collected and complete blood profile parameters were recorded using </w:t>
      </w:r>
      <w:proofErr w:type="spellStart"/>
      <w:r w:rsidRPr="000A7C9D">
        <w:rPr>
          <w:rFonts w:ascii="Times New Roman" w:hAnsi="Times New Roman" w:cs="Times New Roman"/>
          <w:sz w:val="20"/>
        </w:rPr>
        <w:t>Sysmex</w:t>
      </w:r>
      <w:proofErr w:type="spellEnd"/>
      <w:r w:rsidRPr="000A7C9D">
        <w:rPr>
          <w:rFonts w:ascii="Times New Roman" w:hAnsi="Times New Roman" w:cs="Times New Roman"/>
          <w:sz w:val="20"/>
        </w:rPr>
        <w:t xml:space="preserve"> XN 1000.</w:t>
      </w:r>
      <w:r w:rsidR="000155BE">
        <w:rPr>
          <w:rFonts w:ascii="Times New Roman" w:hAnsi="Times New Roman" w:cs="Times New Roman"/>
          <w:sz w:val="20"/>
        </w:rPr>
        <w:t xml:space="preserve"> </w:t>
      </w:r>
      <w:r w:rsidRPr="000A7C9D">
        <w:rPr>
          <w:rFonts w:ascii="Times New Roman" w:hAnsi="Times New Roman" w:cs="Times New Roman"/>
          <w:sz w:val="20"/>
        </w:rPr>
        <w:t xml:space="preserve">The calculation of NLR and PLR was done using absolute value of neutrophils, lymphocytes and platelets counts. The significant (p=&lt;0.05) difference between ITP patients and healthy control groups was determined by </w:t>
      </w:r>
      <w:proofErr w:type="spellStart"/>
      <w:r w:rsidRPr="000A7C9D">
        <w:rPr>
          <w:rFonts w:ascii="Times New Roman" w:hAnsi="Times New Roman" w:cs="Times New Roman"/>
          <w:sz w:val="20"/>
        </w:rPr>
        <w:t>Kruskal</w:t>
      </w:r>
      <w:proofErr w:type="spellEnd"/>
      <w:r w:rsidRPr="000A7C9D">
        <w:rPr>
          <w:rFonts w:ascii="Times New Roman" w:hAnsi="Times New Roman" w:cs="Times New Roman"/>
          <w:sz w:val="20"/>
        </w:rPr>
        <w:t xml:space="preserve"> </w:t>
      </w:r>
      <w:proofErr w:type="spellStart"/>
      <w:r w:rsidRPr="000A7C9D">
        <w:rPr>
          <w:rFonts w:ascii="Times New Roman" w:hAnsi="Times New Roman" w:cs="Times New Roman"/>
          <w:sz w:val="20"/>
        </w:rPr>
        <w:t>wallis</w:t>
      </w:r>
      <w:proofErr w:type="spellEnd"/>
      <w:r w:rsidRPr="000A7C9D">
        <w:rPr>
          <w:rFonts w:ascii="Times New Roman" w:hAnsi="Times New Roman" w:cs="Times New Roman"/>
          <w:sz w:val="20"/>
        </w:rPr>
        <w:t xml:space="preserve"> test, Dunn’s test and spearman’s correlation test was done to evaluate platelet count correlation with IPF using SPSS ver.23. </w:t>
      </w:r>
    </w:p>
    <w:p w14:paraId="62768E73" w14:textId="3B0EECF0" w:rsidR="00D55DD2" w:rsidRPr="000A7C9D" w:rsidRDefault="00D55DD2" w:rsidP="000A7C9D">
      <w:pPr>
        <w:spacing w:after="200" w:line="276" w:lineRule="auto"/>
        <w:jc w:val="both"/>
        <w:rPr>
          <w:rFonts w:ascii="Times New Roman" w:hAnsi="Times New Roman" w:cs="Times New Roman"/>
          <w:sz w:val="20"/>
        </w:rPr>
      </w:pPr>
      <w:r w:rsidRPr="000A7C9D">
        <w:rPr>
          <w:rFonts w:ascii="Times New Roman" w:hAnsi="Times New Roman" w:cs="Times New Roman"/>
          <w:b/>
          <w:sz w:val="20"/>
        </w:rPr>
        <w:t>Results:</w:t>
      </w:r>
      <w:r w:rsidRPr="000A7C9D">
        <w:rPr>
          <w:rFonts w:ascii="Times New Roman" w:hAnsi="Times New Roman" w:cs="Times New Roman"/>
          <w:sz w:val="20"/>
        </w:rPr>
        <w:t xml:space="preserve"> Low </w:t>
      </w:r>
      <w:proofErr w:type="spellStart"/>
      <w:r w:rsidRPr="000A7C9D">
        <w:rPr>
          <w:rFonts w:ascii="Times New Roman" w:hAnsi="Times New Roman" w:cs="Times New Roman"/>
          <w:sz w:val="20"/>
        </w:rPr>
        <w:t>hemoglobin</w:t>
      </w:r>
      <w:proofErr w:type="spellEnd"/>
      <w:r w:rsidRPr="000A7C9D">
        <w:rPr>
          <w:rFonts w:ascii="Times New Roman" w:hAnsi="Times New Roman" w:cs="Times New Roman"/>
          <w:sz w:val="20"/>
        </w:rPr>
        <w:t xml:space="preserve"> and platelet counts with high </w:t>
      </w:r>
      <w:r w:rsidR="000A7C9D" w:rsidRPr="000A7C9D">
        <w:rPr>
          <w:rFonts w:ascii="Times New Roman" w:hAnsi="Times New Roman" w:cs="Times New Roman"/>
          <w:sz w:val="20"/>
        </w:rPr>
        <w:t>Total Leucocyte Count</w:t>
      </w:r>
      <w:r w:rsidRPr="000A7C9D">
        <w:rPr>
          <w:rFonts w:ascii="Times New Roman" w:hAnsi="Times New Roman" w:cs="Times New Roman"/>
          <w:sz w:val="20"/>
        </w:rPr>
        <w:t xml:space="preserve"> (TLC) and IPF were detected in ITP patients as compared to healthy individuals (p=&lt;0.05).</w:t>
      </w:r>
      <w:r w:rsidR="000155BE">
        <w:rPr>
          <w:rFonts w:ascii="Times New Roman" w:hAnsi="Times New Roman" w:cs="Times New Roman"/>
          <w:sz w:val="20"/>
        </w:rPr>
        <w:t xml:space="preserve"> </w:t>
      </w:r>
      <w:r w:rsidRPr="000A7C9D">
        <w:rPr>
          <w:rFonts w:ascii="Times New Roman" w:hAnsi="Times New Roman" w:cs="Times New Roman"/>
          <w:sz w:val="20"/>
        </w:rPr>
        <w:t>Among all groups of ITP patients, very low platelet count with median and IQR of 2(3.8)3x109/l with highest mean and IQR IPF 25.4(19.8</w:t>
      </w:r>
      <w:proofErr w:type="gramStart"/>
      <w:r w:rsidRPr="000A7C9D">
        <w:rPr>
          <w:rFonts w:ascii="Times New Roman" w:hAnsi="Times New Roman" w:cs="Times New Roman"/>
          <w:sz w:val="20"/>
        </w:rPr>
        <w:t>)%</w:t>
      </w:r>
      <w:proofErr w:type="gramEnd"/>
      <w:r w:rsidRPr="000A7C9D">
        <w:rPr>
          <w:rFonts w:ascii="Times New Roman" w:hAnsi="Times New Roman" w:cs="Times New Roman"/>
          <w:sz w:val="20"/>
        </w:rPr>
        <w:t xml:space="preserve"> was observed in newly diagnosed ITP group. The NLR was high with prognosis of disease as higher levels were </w:t>
      </w:r>
      <w:r w:rsidR="000A7C9D">
        <w:rPr>
          <w:rFonts w:ascii="Times New Roman" w:hAnsi="Times New Roman" w:cs="Times New Roman"/>
          <w:sz w:val="20"/>
        </w:rPr>
        <w:t>observed in P-</w:t>
      </w:r>
      <w:r w:rsidRPr="000A7C9D">
        <w:rPr>
          <w:rFonts w:ascii="Times New Roman" w:hAnsi="Times New Roman" w:cs="Times New Roman"/>
          <w:sz w:val="20"/>
        </w:rPr>
        <w:t xml:space="preserve">ITP. The PLR </w:t>
      </w:r>
      <w:r w:rsidR="000A7C9D">
        <w:rPr>
          <w:rFonts w:ascii="Times New Roman" w:hAnsi="Times New Roman" w:cs="Times New Roman"/>
          <w:sz w:val="20"/>
        </w:rPr>
        <w:t>was significantly low in ND-ITP</w:t>
      </w:r>
      <w:r w:rsidRPr="000A7C9D">
        <w:rPr>
          <w:rFonts w:ascii="Times New Roman" w:hAnsi="Times New Roman" w:cs="Times New Roman"/>
          <w:sz w:val="20"/>
        </w:rPr>
        <w:t>,</w:t>
      </w:r>
      <w:r w:rsidR="000A7C9D">
        <w:rPr>
          <w:rFonts w:ascii="Times New Roman" w:hAnsi="Times New Roman" w:cs="Times New Roman"/>
          <w:sz w:val="20"/>
        </w:rPr>
        <w:t xml:space="preserve"> </w:t>
      </w:r>
      <w:r w:rsidRPr="000A7C9D">
        <w:rPr>
          <w:rFonts w:ascii="Times New Roman" w:hAnsi="Times New Roman" w:cs="Times New Roman"/>
          <w:sz w:val="20"/>
        </w:rPr>
        <w:t xml:space="preserve">P-ITP, C-ITP, </w:t>
      </w:r>
      <w:proofErr w:type="gramStart"/>
      <w:r w:rsidRPr="000A7C9D">
        <w:rPr>
          <w:rFonts w:ascii="Times New Roman" w:hAnsi="Times New Roman" w:cs="Times New Roman"/>
          <w:sz w:val="20"/>
        </w:rPr>
        <w:t>R</w:t>
      </w:r>
      <w:proofErr w:type="gramEnd"/>
      <w:r w:rsidRPr="000A7C9D">
        <w:rPr>
          <w:rFonts w:ascii="Times New Roman" w:hAnsi="Times New Roman" w:cs="Times New Roman"/>
          <w:sz w:val="20"/>
        </w:rPr>
        <w:t xml:space="preserve">-ITP and compared to controls with p=&lt;0.001 as platelet were less in number in all ITP patients. </w:t>
      </w:r>
    </w:p>
    <w:p w14:paraId="363805C2" w14:textId="34AB53D3" w:rsidR="00D55DD2" w:rsidRPr="000A7C9D" w:rsidRDefault="00D55DD2" w:rsidP="000A7C9D">
      <w:pPr>
        <w:spacing w:after="200" w:line="276" w:lineRule="auto"/>
        <w:jc w:val="both"/>
        <w:rPr>
          <w:rFonts w:ascii="Times New Roman" w:hAnsi="Times New Roman" w:cs="Times New Roman"/>
          <w:sz w:val="20"/>
        </w:rPr>
      </w:pPr>
      <w:r w:rsidRPr="000A7C9D">
        <w:rPr>
          <w:rFonts w:ascii="Times New Roman" w:hAnsi="Times New Roman" w:cs="Times New Roman"/>
          <w:b/>
          <w:sz w:val="20"/>
        </w:rPr>
        <w:t>Conclusion:</w:t>
      </w:r>
      <w:r w:rsidRPr="000A7C9D">
        <w:rPr>
          <w:rFonts w:ascii="Times New Roman" w:hAnsi="Times New Roman" w:cs="Times New Roman"/>
          <w:sz w:val="20"/>
        </w:rPr>
        <w:t xml:space="preserve"> The IPF can be used in evaluation of bone marrow response in ITP. The simple, reliable and calculated NLR and PLR ratios can be used in predicting prognosis and response to treatment in ITP and to some extend the severity of disease. </w:t>
      </w:r>
    </w:p>
    <w:p w14:paraId="3096F6D2" w14:textId="56A644AC" w:rsidR="00DE3504" w:rsidRPr="000A7C9D" w:rsidRDefault="00D55DD2" w:rsidP="000A7C9D">
      <w:pPr>
        <w:spacing w:after="200" w:line="276" w:lineRule="auto"/>
        <w:jc w:val="both"/>
        <w:rPr>
          <w:rFonts w:ascii="Times New Roman" w:hAnsi="Times New Roman" w:cs="Times New Roman"/>
          <w:sz w:val="20"/>
        </w:rPr>
      </w:pPr>
      <w:r w:rsidRPr="000A7C9D">
        <w:rPr>
          <w:rFonts w:ascii="Times New Roman" w:hAnsi="Times New Roman" w:cs="Times New Roman"/>
          <w:b/>
          <w:sz w:val="20"/>
        </w:rPr>
        <w:t>Keywords:</w:t>
      </w:r>
      <w:r w:rsidRPr="000A7C9D">
        <w:rPr>
          <w:rFonts w:ascii="Times New Roman" w:hAnsi="Times New Roman" w:cs="Times New Roman"/>
          <w:sz w:val="20"/>
        </w:rPr>
        <w:t xml:space="preserve"> Immune thrombocytopenic </w:t>
      </w:r>
      <w:proofErr w:type="spellStart"/>
      <w:r w:rsidRPr="000A7C9D">
        <w:rPr>
          <w:rFonts w:ascii="Times New Roman" w:hAnsi="Times New Roman" w:cs="Times New Roman"/>
          <w:sz w:val="20"/>
        </w:rPr>
        <w:t>purpura</w:t>
      </w:r>
      <w:proofErr w:type="spellEnd"/>
      <w:r w:rsidRPr="000A7C9D">
        <w:rPr>
          <w:rFonts w:ascii="Times New Roman" w:hAnsi="Times New Roman" w:cs="Times New Roman"/>
          <w:sz w:val="20"/>
        </w:rPr>
        <w:t xml:space="preserve"> (ITP),</w:t>
      </w:r>
      <w:r w:rsidR="0070374D" w:rsidRPr="000A7C9D">
        <w:rPr>
          <w:rFonts w:ascii="Times New Roman" w:hAnsi="Times New Roman" w:cs="Times New Roman"/>
          <w:sz w:val="20"/>
        </w:rPr>
        <w:t xml:space="preserve"> </w:t>
      </w:r>
      <w:r w:rsidRPr="000A7C9D">
        <w:rPr>
          <w:rFonts w:ascii="Times New Roman" w:hAnsi="Times New Roman" w:cs="Times New Roman"/>
          <w:sz w:val="20"/>
        </w:rPr>
        <w:t>Neutrophil to lymphocytes ratio</w:t>
      </w:r>
      <w:r w:rsidR="0070374D" w:rsidRPr="000A7C9D">
        <w:rPr>
          <w:rFonts w:ascii="Times New Roman" w:hAnsi="Times New Roman" w:cs="Times New Roman"/>
          <w:sz w:val="20"/>
        </w:rPr>
        <w:t xml:space="preserve"> </w:t>
      </w:r>
      <w:r w:rsidRPr="000A7C9D">
        <w:rPr>
          <w:rFonts w:ascii="Times New Roman" w:hAnsi="Times New Roman" w:cs="Times New Roman"/>
          <w:sz w:val="20"/>
        </w:rPr>
        <w:t>(NLR),</w:t>
      </w:r>
      <w:r w:rsidR="0070374D" w:rsidRPr="000A7C9D">
        <w:rPr>
          <w:rFonts w:ascii="Times New Roman" w:hAnsi="Times New Roman" w:cs="Times New Roman"/>
          <w:sz w:val="20"/>
        </w:rPr>
        <w:t xml:space="preserve"> </w:t>
      </w:r>
      <w:r w:rsidRPr="000A7C9D">
        <w:rPr>
          <w:rFonts w:ascii="Times New Roman" w:hAnsi="Times New Roman" w:cs="Times New Roman"/>
          <w:sz w:val="20"/>
        </w:rPr>
        <w:t>Platelet to lymphocytes ratio,</w:t>
      </w:r>
      <w:r w:rsidR="0070374D" w:rsidRPr="000A7C9D">
        <w:rPr>
          <w:rFonts w:ascii="Times New Roman" w:hAnsi="Times New Roman" w:cs="Times New Roman"/>
          <w:sz w:val="20"/>
        </w:rPr>
        <w:t xml:space="preserve"> </w:t>
      </w:r>
      <w:r w:rsidRPr="000A7C9D">
        <w:rPr>
          <w:rFonts w:ascii="Times New Roman" w:hAnsi="Times New Roman" w:cs="Times New Roman"/>
          <w:sz w:val="20"/>
        </w:rPr>
        <w:t>(PLR),</w:t>
      </w:r>
      <w:r w:rsidR="0070374D" w:rsidRPr="000A7C9D">
        <w:rPr>
          <w:rFonts w:ascii="Times New Roman" w:hAnsi="Times New Roman" w:cs="Times New Roman"/>
          <w:sz w:val="20"/>
        </w:rPr>
        <w:t xml:space="preserve"> </w:t>
      </w:r>
      <w:proofErr w:type="gramStart"/>
      <w:r w:rsidRPr="000A7C9D">
        <w:rPr>
          <w:rFonts w:ascii="Times New Roman" w:hAnsi="Times New Roman" w:cs="Times New Roman"/>
          <w:sz w:val="20"/>
        </w:rPr>
        <w:t>Immature</w:t>
      </w:r>
      <w:proofErr w:type="gramEnd"/>
      <w:r w:rsidRPr="000A7C9D">
        <w:rPr>
          <w:rFonts w:ascii="Times New Roman" w:hAnsi="Times New Roman" w:cs="Times New Roman"/>
          <w:sz w:val="20"/>
        </w:rPr>
        <w:t xml:space="preserve"> platelet fraction</w:t>
      </w:r>
      <w:r w:rsidR="0070374D" w:rsidRPr="000A7C9D">
        <w:rPr>
          <w:rFonts w:ascii="Times New Roman" w:hAnsi="Times New Roman" w:cs="Times New Roman"/>
          <w:sz w:val="20"/>
        </w:rPr>
        <w:t xml:space="preserve"> </w:t>
      </w:r>
      <w:r w:rsidRPr="000A7C9D">
        <w:rPr>
          <w:rFonts w:ascii="Times New Roman" w:hAnsi="Times New Roman" w:cs="Times New Roman"/>
          <w:sz w:val="20"/>
        </w:rPr>
        <w:t>(IPF).</w:t>
      </w:r>
    </w:p>
    <w:p w14:paraId="17B8D459" w14:textId="1ED2BCBB" w:rsidR="0070374D" w:rsidRPr="000A7C9D" w:rsidRDefault="0070374D" w:rsidP="000A7C9D">
      <w:pPr>
        <w:spacing w:after="200" w:line="276" w:lineRule="auto"/>
        <w:rPr>
          <w:rFonts w:ascii="Times New Roman" w:hAnsi="Times New Roman" w:cs="Times New Roman"/>
          <w:b/>
          <w:sz w:val="24"/>
        </w:rPr>
      </w:pPr>
      <w:r w:rsidRPr="000A7C9D">
        <w:rPr>
          <w:rFonts w:ascii="Times New Roman" w:hAnsi="Times New Roman" w:cs="Times New Roman"/>
          <w:b/>
          <w:sz w:val="24"/>
        </w:rPr>
        <w:t>Biography</w:t>
      </w:r>
    </w:p>
    <w:p w14:paraId="1F44CD51" w14:textId="51A19E4A" w:rsidR="0070374D" w:rsidRPr="000A7C9D" w:rsidRDefault="0070374D" w:rsidP="000A7C9D">
      <w:pPr>
        <w:spacing w:after="200" w:line="276" w:lineRule="auto"/>
        <w:jc w:val="both"/>
        <w:rPr>
          <w:rFonts w:ascii="Times New Roman" w:hAnsi="Times New Roman" w:cs="Times New Roman"/>
          <w:sz w:val="20"/>
        </w:rPr>
      </w:pPr>
      <w:r w:rsidRPr="000A7C9D">
        <w:rPr>
          <w:rFonts w:ascii="Times New Roman" w:hAnsi="Times New Roman" w:cs="Times New Roman"/>
          <w:sz w:val="20"/>
        </w:rPr>
        <w:t>Aisha Arshad is from National Institute of blood diseases and bone marrow transplantation,</w:t>
      </w:r>
      <w:r w:rsidR="000A7C9D">
        <w:rPr>
          <w:rFonts w:ascii="Times New Roman" w:hAnsi="Times New Roman" w:cs="Times New Roman"/>
          <w:sz w:val="20"/>
        </w:rPr>
        <w:t xml:space="preserve"> Karachi, Pakistan. She is a Ph</w:t>
      </w:r>
      <w:r w:rsidRPr="000A7C9D">
        <w:rPr>
          <w:rFonts w:ascii="Times New Roman" w:hAnsi="Times New Roman" w:cs="Times New Roman"/>
          <w:sz w:val="20"/>
        </w:rPr>
        <w:t xml:space="preserve">D scholar (Haematology). Her basic focus of research is based on the pathogenesis of Immune thrombocytopenic purpura including the impact of </w:t>
      </w:r>
      <w:r w:rsidR="000A7C9D">
        <w:rPr>
          <w:rFonts w:ascii="Times New Roman" w:hAnsi="Times New Roman" w:cs="Times New Roman"/>
          <w:sz w:val="20"/>
        </w:rPr>
        <w:t>T</w:t>
      </w:r>
      <w:r w:rsidRPr="000A7C9D">
        <w:rPr>
          <w:rFonts w:ascii="Times New Roman" w:hAnsi="Times New Roman" w:cs="Times New Roman"/>
          <w:sz w:val="20"/>
        </w:rPr>
        <w:t xml:space="preserve"> cell imbalance, oxidative stress and antioxidative enzyme</w:t>
      </w:r>
      <w:r w:rsidR="000155BE">
        <w:rPr>
          <w:rFonts w:ascii="Times New Roman" w:hAnsi="Times New Roman" w:cs="Times New Roman"/>
          <w:sz w:val="20"/>
        </w:rPr>
        <w:t>s role in ITP Pakistani patient,</w:t>
      </w:r>
      <w:r w:rsidRPr="000A7C9D">
        <w:rPr>
          <w:rFonts w:ascii="Times New Roman" w:hAnsi="Times New Roman" w:cs="Times New Roman"/>
          <w:sz w:val="20"/>
        </w:rPr>
        <w:t xml:space="preserve"> As </w:t>
      </w:r>
      <w:r w:rsidR="000A7C9D">
        <w:rPr>
          <w:rFonts w:ascii="Times New Roman" w:hAnsi="Times New Roman" w:cs="Times New Roman"/>
          <w:sz w:val="20"/>
        </w:rPr>
        <w:t>ITP has been studied much in the</w:t>
      </w:r>
      <w:r w:rsidRPr="000A7C9D">
        <w:rPr>
          <w:rFonts w:ascii="Times New Roman" w:hAnsi="Times New Roman" w:cs="Times New Roman"/>
          <w:sz w:val="20"/>
        </w:rPr>
        <w:t xml:space="preserve"> region due to resource limitation. She has worked on it with best possible available resources in order to find cause of occurrence of disease which will impact in selecting best treatment options at earliest.</w:t>
      </w:r>
      <w:r w:rsidR="000A7C9D" w:rsidRPr="000A7C9D">
        <w:rPr>
          <w:rFonts w:ascii="Times New Roman" w:hAnsi="Times New Roman" w:cs="Times New Roman"/>
          <w:sz w:val="20"/>
        </w:rPr>
        <w:t xml:space="preserve"> </w:t>
      </w:r>
      <w:r w:rsidRPr="000A7C9D">
        <w:rPr>
          <w:rFonts w:ascii="Times New Roman" w:hAnsi="Times New Roman" w:cs="Times New Roman"/>
          <w:sz w:val="20"/>
        </w:rPr>
        <w:t>She has also been associated with other research projects including transfusion medicine, myelodysplastic syndrome and aplastic anaemia with several research papers.</w:t>
      </w:r>
      <w:r w:rsidR="000A7C9D" w:rsidRPr="000A7C9D">
        <w:rPr>
          <w:rFonts w:ascii="Times New Roman" w:hAnsi="Times New Roman" w:cs="Times New Roman"/>
          <w:sz w:val="20"/>
        </w:rPr>
        <w:t xml:space="preserve"> </w:t>
      </w:r>
      <w:r w:rsidRPr="000A7C9D">
        <w:rPr>
          <w:rFonts w:ascii="Times New Roman" w:hAnsi="Times New Roman" w:cs="Times New Roman"/>
          <w:sz w:val="20"/>
        </w:rPr>
        <w:t>She is working as HOD lab and looking after different laboratory departments. Besides this, I am keen interested to do research on other blood disorders as well.</w:t>
      </w:r>
    </w:p>
    <w:sectPr w:rsidR="0070374D" w:rsidRPr="000A7C9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2"/>
  </w:compat>
  <w:rsids>
    <w:rsidRoot w:val="008730B9"/>
    <w:rsid w:val="000155BE"/>
    <w:rsid w:val="000A7C9D"/>
    <w:rsid w:val="004853D1"/>
    <w:rsid w:val="00505D5D"/>
    <w:rsid w:val="0070374D"/>
    <w:rsid w:val="007D4CEF"/>
    <w:rsid w:val="008730B9"/>
    <w:rsid w:val="009A430A"/>
    <w:rsid w:val="00BA384E"/>
    <w:rsid w:val="00D55DD2"/>
    <w:rsid w:val="00DE350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A0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55DD2"/>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503</Words>
  <Characters>2869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Marine Biology</dc:creator>
  <cp:keywords/>
  <dc:description/>
  <cp:lastModifiedBy>Swetha Sandala</cp:lastModifiedBy>
  <cp:revision>5</cp:revision>
  <dcterms:created xsi:type="dcterms:W3CDTF">2022-07-26T07:20:00Z</dcterms:created>
  <dcterms:modified xsi:type="dcterms:W3CDTF">2022-07-27T06:22:00Z</dcterms:modified>
</cp:coreProperties>
</file>