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7508DE" w14:textId="15449546" w:rsidR="005C38C6" w:rsidRPr="003224C5" w:rsidRDefault="004F770E" w:rsidP="003224C5">
      <w:pPr>
        <w:pStyle w:val="MDPI12title"/>
        <w:rPr>
          <w:rFonts w:ascii="Times New Roman" w:eastAsia="Calibri" w:hAnsi="Times New Roman"/>
          <w:bCs/>
          <w:color w:val="auto"/>
          <w:sz w:val="32"/>
          <w:szCs w:val="24"/>
        </w:rPr>
      </w:pPr>
      <w:r w:rsidRPr="003224C5">
        <w:rPr>
          <w:rFonts w:ascii="Times New Roman" w:eastAsia="Calibri" w:hAnsi="Times New Roman"/>
          <w:bCs/>
          <w:color w:val="auto"/>
          <w:sz w:val="32"/>
          <w:szCs w:val="24"/>
        </w:rPr>
        <w:t>Cutaneous complications</w:t>
      </w:r>
      <w:r w:rsidR="005C38C6" w:rsidRPr="003224C5">
        <w:rPr>
          <w:rFonts w:ascii="Times New Roman" w:eastAsia="Calibri" w:hAnsi="Times New Roman"/>
          <w:bCs/>
          <w:color w:val="auto"/>
          <w:sz w:val="32"/>
          <w:szCs w:val="24"/>
        </w:rPr>
        <w:t xml:space="preserve"> </w:t>
      </w:r>
      <w:r w:rsidRPr="003224C5">
        <w:rPr>
          <w:rFonts w:ascii="Times New Roman" w:eastAsia="Calibri" w:hAnsi="Times New Roman"/>
          <w:bCs/>
          <w:color w:val="auto"/>
          <w:sz w:val="32"/>
          <w:szCs w:val="24"/>
        </w:rPr>
        <w:t>of</w:t>
      </w:r>
      <w:r w:rsidR="005C38C6" w:rsidRPr="003224C5">
        <w:rPr>
          <w:rFonts w:ascii="Times New Roman" w:eastAsia="Calibri" w:hAnsi="Times New Roman"/>
          <w:bCs/>
          <w:color w:val="auto"/>
          <w:sz w:val="32"/>
          <w:szCs w:val="24"/>
        </w:rPr>
        <w:t xml:space="preserve"> </w:t>
      </w:r>
      <w:r w:rsidR="00B67735" w:rsidRPr="003224C5">
        <w:rPr>
          <w:rFonts w:ascii="Times New Roman" w:eastAsia="Calibri" w:hAnsi="Times New Roman"/>
          <w:bCs/>
          <w:color w:val="auto"/>
          <w:sz w:val="32"/>
          <w:szCs w:val="24"/>
        </w:rPr>
        <w:t>MRNA</w:t>
      </w:r>
      <w:r w:rsidRPr="003224C5">
        <w:rPr>
          <w:rFonts w:ascii="Times New Roman" w:eastAsia="Calibri" w:hAnsi="Times New Roman"/>
          <w:bCs/>
          <w:color w:val="auto"/>
          <w:sz w:val="32"/>
          <w:szCs w:val="24"/>
        </w:rPr>
        <w:t xml:space="preserve"> and</w:t>
      </w:r>
      <w:r w:rsidR="005C38C6" w:rsidRPr="003224C5">
        <w:rPr>
          <w:rFonts w:ascii="Times New Roman" w:eastAsia="Calibri" w:hAnsi="Times New Roman"/>
          <w:bCs/>
          <w:color w:val="auto"/>
          <w:sz w:val="32"/>
          <w:szCs w:val="24"/>
        </w:rPr>
        <w:t xml:space="preserve"> AZD1222 </w:t>
      </w:r>
      <w:r w:rsidR="003224C5" w:rsidRPr="003224C5">
        <w:rPr>
          <w:rFonts w:ascii="Times New Roman" w:eastAsia="Calibri" w:hAnsi="Times New Roman"/>
          <w:bCs/>
          <w:color w:val="auto"/>
          <w:sz w:val="32"/>
          <w:szCs w:val="24"/>
        </w:rPr>
        <w:t xml:space="preserve">COVID-19 </w:t>
      </w:r>
      <w:r w:rsidRPr="003224C5">
        <w:rPr>
          <w:rFonts w:ascii="Times New Roman" w:eastAsia="Calibri" w:hAnsi="Times New Roman"/>
          <w:bCs/>
          <w:color w:val="auto"/>
          <w:sz w:val="32"/>
          <w:szCs w:val="24"/>
        </w:rPr>
        <w:t>vaccines</w:t>
      </w:r>
      <w:r w:rsidR="005C38C6" w:rsidRPr="003224C5">
        <w:rPr>
          <w:rFonts w:ascii="Times New Roman" w:eastAsia="Calibri" w:hAnsi="Times New Roman"/>
          <w:bCs/>
          <w:color w:val="auto"/>
          <w:sz w:val="32"/>
          <w:szCs w:val="24"/>
        </w:rPr>
        <w:t xml:space="preserve">: A </w:t>
      </w:r>
      <w:r w:rsidRPr="003224C5">
        <w:rPr>
          <w:rFonts w:ascii="Times New Roman" w:eastAsia="Calibri" w:hAnsi="Times New Roman"/>
          <w:bCs/>
          <w:color w:val="auto"/>
          <w:sz w:val="32"/>
          <w:szCs w:val="24"/>
        </w:rPr>
        <w:t>worldwide review</w:t>
      </w:r>
    </w:p>
    <w:p w14:paraId="680C3197" w14:textId="374B3CD2" w:rsidR="005C38C6" w:rsidRPr="001D0A61" w:rsidRDefault="005C38C6" w:rsidP="003224C5">
      <w:pPr>
        <w:pStyle w:val="MDPI13authornames"/>
        <w:rPr>
          <w:rFonts w:ascii="Times New Roman" w:eastAsia="Calibri" w:hAnsi="Times New Roman"/>
          <w:b w:val="0"/>
          <w:bCs/>
          <w:color w:val="auto"/>
          <w:sz w:val="24"/>
          <w:szCs w:val="24"/>
          <w:vertAlign w:val="superscript"/>
        </w:rPr>
      </w:pPr>
      <w:proofErr w:type="spellStart"/>
      <w:r w:rsidRPr="003224C5">
        <w:rPr>
          <w:rFonts w:ascii="Times New Roman" w:eastAsia="Calibri" w:hAnsi="Times New Roman"/>
          <w:b w:val="0"/>
          <w:bCs/>
          <w:color w:val="auto"/>
          <w:sz w:val="24"/>
          <w:szCs w:val="24"/>
        </w:rPr>
        <w:t>Paroikaki</w:t>
      </w:r>
      <w:proofErr w:type="spellEnd"/>
      <w:r w:rsidR="003224C5">
        <w:rPr>
          <w:rFonts w:ascii="Times New Roman" w:eastAsia="Calibri" w:hAnsi="Times New Roman"/>
          <w:b w:val="0"/>
          <w:bCs/>
          <w:color w:val="auto"/>
          <w:sz w:val="24"/>
          <w:szCs w:val="24"/>
        </w:rPr>
        <w:t xml:space="preserve"> ME</w:t>
      </w:r>
      <w:r w:rsidR="00B83296" w:rsidRPr="003224C5">
        <w:rPr>
          <w:rFonts w:ascii="Times New Roman" w:eastAsia="Calibri" w:hAnsi="Times New Roman"/>
          <w:b w:val="0"/>
          <w:bCs/>
          <w:color w:val="auto"/>
          <w:sz w:val="24"/>
          <w:szCs w:val="24"/>
          <w:vertAlign w:val="superscript"/>
        </w:rPr>
        <w:t>1</w:t>
      </w:r>
      <w:r w:rsidRPr="001D0A61">
        <w:rPr>
          <w:rFonts w:ascii="Times New Roman" w:eastAsia="Calibri" w:hAnsi="Times New Roman"/>
          <w:b w:val="0"/>
          <w:bCs/>
          <w:color w:val="auto"/>
          <w:sz w:val="24"/>
          <w:szCs w:val="24"/>
        </w:rPr>
        <w:t>,</w:t>
      </w:r>
      <w:r w:rsidR="00B83296" w:rsidRPr="001D0A61">
        <w:rPr>
          <w:rFonts w:ascii="Times New Roman" w:eastAsia="Calibri" w:hAnsi="Times New Roman"/>
          <w:b w:val="0"/>
          <w:bCs/>
          <w:color w:val="auto"/>
          <w:sz w:val="24"/>
          <w:szCs w:val="24"/>
        </w:rPr>
        <w:t xml:space="preserve"> </w:t>
      </w:r>
      <w:proofErr w:type="spellStart"/>
      <w:r w:rsidR="00B83296" w:rsidRPr="001D0A61">
        <w:rPr>
          <w:rFonts w:ascii="Times New Roman" w:eastAsia="Calibri" w:hAnsi="Times New Roman"/>
          <w:b w:val="0"/>
          <w:bCs/>
          <w:color w:val="auto"/>
          <w:sz w:val="24"/>
          <w:szCs w:val="24"/>
        </w:rPr>
        <w:t>Kroumpouzos</w:t>
      </w:r>
      <w:proofErr w:type="spellEnd"/>
      <w:r w:rsidR="003224C5">
        <w:rPr>
          <w:rFonts w:ascii="Times New Roman" w:eastAsia="Calibri" w:hAnsi="Times New Roman"/>
          <w:b w:val="0"/>
          <w:bCs/>
          <w:color w:val="auto"/>
          <w:sz w:val="24"/>
          <w:szCs w:val="24"/>
        </w:rPr>
        <w:t xml:space="preserve"> G</w:t>
      </w:r>
      <w:r w:rsidR="00B83296" w:rsidRPr="001D0A61">
        <w:rPr>
          <w:rFonts w:ascii="Times New Roman" w:eastAsia="Calibri" w:hAnsi="Times New Roman"/>
          <w:b w:val="0"/>
          <w:bCs/>
          <w:color w:val="auto"/>
          <w:sz w:val="24"/>
          <w:szCs w:val="24"/>
          <w:vertAlign w:val="superscript"/>
        </w:rPr>
        <w:t>2</w:t>
      </w:r>
      <w:r w:rsidR="00B83296" w:rsidRPr="001D0A61">
        <w:rPr>
          <w:rFonts w:ascii="Times New Roman" w:eastAsia="Calibri" w:hAnsi="Times New Roman"/>
          <w:b w:val="0"/>
          <w:bCs/>
          <w:color w:val="auto"/>
          <w:sz w:val="24"/>
          <w:szCs w:val="24"/>
        </w:rPr>
        <w:t>,</w:t>
      </w:r>
      <w:r w:rsidRPr="001D0A61">
        <w:rPr>
          <w:rFonts w:ascii="Times New Roman" w:eastAsia="Calibri" w:hAnsi="Times New Roman"/>
          <w:b w:val="0"/>
          <w:bCs/>
          <w:color w:val="auto"/>
          <w:sz w:val="24"/>
          <w:szCs w:val="24"/>
        </w:rPr>
        <w:t xml:space="preserve"> </w:t>
      </w:r>
      <w:proofErr w:type="spellStart"/>
      <w:r w:rsidRPr="001D0A61">
        <w:rPr>
          <w:rFonts w:ascii="Times New Roman" w:eastAsia="Calibri" w:hAnsi="Times New Roman"/>
          <w:b w:val="0"/>
          <w:bCs/>
          <w:color w:val="auto"/>
          <w:sz w:val="24"/>
          <w:szCs w:val="24"/>
        </w:rPr>
        <w:t>Yumeen</w:t>
      </w:r>
      <w:proofErr w:type="spellEnd"/>
      <w:r w:rsidR="003224C5">
        <w:rPr>
          <w:rFonts w:ascii="Times New Roman" w:eastAsia="Calibri" w:hAnsi="Times New Roman"/>
          <w:b w:val="0"/>
          <w:bCs/>
          <w:color w:val="auto"/>
          <w:sz w:val="24"/>
          <w:szCs w:val="24"/>
        </w:rPr>
        <w:t xml:space="preserve"> S</w:t>
      </w:r>
      <w:r w:rsidR="00B83296" w:rsidRPr="001D0A61">
        <w:rPr>
          <w:rFonts w:ascii="Times New Roman" w:eastAsia="Calibri" w:hAnsi="Times New Roman"/>
          <w:b w:val="0"/>
          <w:bCs/>
          <w:color w:val="auto"/>
          <w:sz w:val="24"/>
          <w:szCs w:val="24"/>
          <w:vertAlign w:val="superscript"/>
        </w:rPr>
        <w:t>2</w:t>
      </w:r>
      <w:r w:rsidRPr="001D0A61">
        <w:rPr>
          <w:rFonts w:ascii="Times New Roman" w:eastAsia="Calibri" w:hAnsi="Times New Roman"/>
          <w:b w:val="0"/>
          <w:bCs/>
          <w:color w:val="auto"/>
          <w:sz w:val="24"/>
          <w:szCs w:val="24"/>
        </w:rPr>
        <w:t xml:space="preserve">, </w:t>
      </w:r>
      <w:proofErr w:type="spellStart"/>
      <w:r w:rsidRPr="001D0A61">
        <w:rPr>
          <w:rFonts w:ascii="Times New Roman" w:eastAsia="Calibri" w:hAnsi="Times New Roman"/>
          <w:b w:val="0"/>
          <w:bCs/>
          <w:color w:val="auto"/>
          <w:sz w:val="24"/>
          <w:szCs w:val="24"/>
        </w:rPr>
        <w:t>Bhargava</w:t>
      </w:r>
      <w:proofErr w:type="spellEnd"/>
      <w:r w:rsidR="003224C5">
        <w:rPr>
          <w:rFonts w:ascii="Times New Roman" w:eastAsia="Calibri" w:hAnsi="Times New Roman"/>
          <w:b w:val="0"/>
          <w:bCs/>
          <w:color w:val="auto"/>
          <w:sz w:val="24"/>
          <w:szCs w:val="24"/>
        </w:rPr>
        <w:t xml:space="preserve"> S</w:t>
      </w:r>
      <w:r w:rsidRPr="001D0A61">
        <w:rPr>
          <w:rFonts w:ascii="Times New Roman" w:eastAsia="Calibri" w:hAnsi="Times New Roman"/>
          <w:b w:val="0"/>
          <w:bCs/>
          <w:color w:val="auto"/>
          <w:sz w:val="24"/>
          <w:szCs w:val="24"/>
          <w:vertAlign w:val="superscript"/>
        </w:rPr>
        <w:t>3</w:t>
      </w:r>
      <w:r w:rsidR="003224C5">
        <w:rPr>
          <w:rFonts w:ascii="Times New Roman" w:eastAsia="Calibri" w:hAnsi="Times New Roman"/>
          <w:b w:val="0"/>
          <w:bCs/>
          <w:color w:val="auto"/>
          <w:sz w:val="24"/>
          <w:szCs w:val="24"/>
        </w:rPr>
        <w:t xml:space="preserve"> and</w:t>
      </w:r>
      <w:r w:rsidRPr="001D0A61">
        <w:rPr>
          <w:rFonts w:ascii="Times New Roman" w:eastAsia="Calibri" w:hAnsi="Times New Roman"/>
          <w:b w:val="0"/>
          <w:bCs/>
          <w:color w:val="auto"/>
          <w:sz w:val="24"/>
          <w:szCs w:val="24"/>
        </w:rPr>
        <w:t xml:space="preserve"> </w:t>
      </w:r>
      <w:proofErr w:type="spellStart"/>
      <w:r w:rsidRPr="001D0A61">
        <w:rPr>
          <w:rFonts w:ascii="Times New Roman" w:eastAsia="Calibri" w:hAnsi="Times New Roman"/>
          <w:b w:val="0"/>
          <w:bCs/>
          <w:color w:val="auto"/>
          <w:sz w:val="24"/>
          <w:szCs w:val="24"/>
        </w:rPr>
        <w:t>Mylonakis</w:t>
      </w:r>
      <w:proofErr w:type="spellEnd"/>
      <w:r w:rsidR="003224C5">
        <w:rPr>
          <w:rFonts w:ascii="Times New Roman" w:eastAsia="Calibri" w:hAnsi="Times New Roman"/>
          <w:b w:val="0"/>
          <w:bCs/>
          <w:color w:val="auto"/>
          <w:sz w:val="24"/>
          <w:szCs w:val="24"/>
        </w:rPr>
        <w:t xml:space="preserve"> E</w:t>
      </w:r>
      <w:r w:rsidR="003224C5">
        <w:rPr>
          <w:rFonts w:ascii="Times New Roman" w:eastAsia="Calibri" w:hAnsi="Times New Roman"/>
          <w:b w:val="0"/>
          <w:bCs/>
          <w:color w:val="auto"/>
          <w:sz w:val="24"/>
          <w:szCs w:val="24"/>
          <w:vertAlign w:val="superscript"/>
        </w:rPr>
        <w:t>2</w:t>
      </w:r>
    </w:p>
    <w:p w14:paraId="031F514F" w14:textId="733C154C" w:rsidR="003224C5" w:rsidRPr="003224C5" w:rsidRDefault="00B83296" w:rsidP="003224C5">
      <w:pPr>
        <w:pStyle w:val="MDPI16affiliation"/>
        <w:ind w:left="198"/>
        <w:rPr>
          <w:rFonts w:ascii="Times New Roman" w:eastAsia="Calibri" w:hAnsi="Times New Roman"/>
          <w:iCs/>
          <w:color w:val="auto"/>
          <w:sz w:val="22"/>
          <w:szCs w:val="24"/>
        </w:rPr>
      </w:pPr>
      <w:r w:rsidRPr="003224C5">
        <w:rPr>
          <w:rFonts w:ascii="Times New Roman" w:eastAsia="Calibri" w:hAnsi="Times New Roman"/>
          <w:iCs/>
          <w:color w:val="auto"/>
          <w:sz w:val="22"/>
          <w:szCs w:val="24"/>
          <w:vertAlign w:val="superscript"/>
        </w:rPr>
        <w:t>1</w:t>
      </w:r>
      <w:r w:rsidR="005C38C6" w:rsidRPr="003224C5">
        <w:rPr>
          <w:rFonts w:ascii="Times New Roman" w:eastAsia="Calibri" w:hAnsi="Times New Roman"/>
          <w:iCs/>
          <w:color w:val="auto"/>
          <w:sz w:val="22"/>
          <w:szCs w:val="24"/>
        </w:rPr>
        <w:t>Imperial College London, UK</w:t>
      </w:r>
      <w:r w:rsidRPr="003224C5">
        <w:rPr>
          <w:rFonts w:ascii="Times New Roman" w:eastAsia="Calibri" w:hAnsi="Times New Roman"/>
          <w:iCs/>
          <w:color w:val="auto"/>
          <w:sz w:val="22"/>
          <w:szCs w:val="24"/>
        </w:rPr>
        <w:t xml:space="preserve"> </w:t>
      </w:r>
    </w:p>
    <w:p w14:paraId="1AC8D4E9" w14:textId="3F731D6C" w:rsidR="003224C5" w:rsidRPr="003224C5" w:rsidRDefault="00B83296" w:rsidP="003224C5">
      <w:pPr>
        <w:pStyle w:val="MDPI16affiliation"/>
        <w:ind w:left="198"/>
        <w:rPr>
          <w:rFonts w:ascii="Times New Roman" w:eastAsia="Calibri" w:hAnsi="Times New Roman"/>
          <w:iCs/>
          <w:color w:val="auto"/>
          <w:sz w:val="22"/>
          <w:szCs w:val="24"/>
        </w:rPr>
      </w:pPr>
      <w:r w:rsidRPr="003224C5">
        <w:rPr>
          <w:rFonts w:ascii="Times New Roman" w:eastAsia="Calibri" w:hAnsi="Times New Roman"/>
          <w:iCs/>
          <w:color w:val="auto"/>
          <w:sz w:val="22"/>
          <w:szCs w:val="24"/>
          <w:vertAlign w:val="superscript"/>
        </w:rPr>
        <w:t>2</w:t>
      </w:r>
      <w:r w:rsidR="003224C5" w:rsidRPr="003224C5">
        <w:rPr>
          <w:rFonts w:ascii="Times New Roman" w:eastAsia="Calibri" w:hAnsi="Times New Roman"/>
          <w:iCs/>
          <w:color w:val="auto"/>
          <w:sz w:val="22"/>
          <w:szCs w:val="24"/>
        </w:rPr>
        <w:t>Warren Alpert Medical School of Brown University</w:t>
      </w:r>
      <w:r w:rsidRPr="003224C5">
        <w:rPr>
          <w:rFonts w:ascii="Times New Roman" w:eastAsia="Calibri" w:hAnsi="Times New Roman"/>
          <w:iCs/>
          <w:color w:val="auto"/>
          <w:sz w:val="22"/>
          <w:szCs w:val="24"/>
        </w:rPr>
        <w:t xml:space="preserve">, </w:t>
      </w:r>
      <w:r w:rsidR="003224C5">
        <w:rPr>
          <w:rFonts w:ascii="Times New Roman" w:eastAsia="Calibri" w:hAnsi="Times New Roman"/>
          <w:iCs/>
          <w:color w:val="auto"/>
          <w:sz w:val="22"/>
          <w:szCs w:val="24"/>
        </w:rPr>
        <w:t xml:space="preserve">USA </w:t>
      </w:r>
    </w:p>
    <w:p w14:paraId="06464274" w14:textId="35E8B8D5" w:rsidR="003224C5" w:rsidRPr="003224C5" w:rsidRDefault="005C38C6" w:rsidP="003224C5">
      <w:pPr>
        <w:pStyle w:val="MDPI16affiliation"/>
        <w:spacing w:after="100" w:afterAutospacing="1"/>
        <w:ind w:left="198"/>
        <w:rPr>
          <w:rFonts w:ascii="Times New Roman" w:eastAsia="Calibri" w:hAnsi="Times New Roman"/>
          <w:iCs/>
          <w:color w:val="auto"/>
          <w:sz w:val="22"/>
          <w:szCs w:val="24"/>
        </w:rPr>
      </w:pPr>
      <w:r w:rsidRPr="003224C5">
        <w:rPr>
          <w:rFonts w:ascii="Times New Roman" w:eastAsia="Calibri" w:hAnsi="Times New Roman"/>
          <w:iCs/>
          <w:color w:val="auto"/>
          <w:sz w:val="22"/>
          <w:szCs w:val="24"/>
          <w:vertAlign w:val="superscript"/>
        </w:rPr>
        <w:t>3</w:t>
      </w:r>
      <w:r w:rsidR="00361207">
        <w:rPr>
          <w:rFonts w:ascii="Times New Roman" w:eastAsia="Calibri" w:hAnsi="Times New Roman"/>
          <w:iCs/>
          <w:color w:val="auto"/>
          <w:sz w:val="22"/>
          <w:szCs w:val="24"/>
        </w:rPr>
        <w:t>RD</w:t>
      </w:r>
      <w:r w:rsidRPr="003224C5">
        <w:rPr>
          <w:rFonts w:ascii="Times New Roman" w:eastAsia="Calibri" w:hAnsi="Times New Roman"/>
          <w:iCs/>
          <w:color w:val="auto"/>
          <w:sz w:val="22"/>
          <w:szCs w:val="24"/>
        </w:rPr>
        <w:t xml:space="preserve"> </w:t>
      </w:r>
      <w:proofErr w:type="spellStart"/>
      <w:r w:rsidRPr="003224C5">
        <w:rPr>
          <w:rFonts w:ascii="Times New Roman" w:eastAsia="Calibri" w:hAnsi="Times New Roman"/>
          <w:iCs/>
          <w:color w:val="auto"/>
          <w:sz w:val="22"/>
          <w:szCs w:val="24"/>
        </w:rPr>
        <w:t>Gardi</w:t>
      </w:r>
      <w:proofErr w:type="spellEnd"/>
      <w:r w:rsidRPr="003224C5">
        <w:rPr>
          <w:rFonts w:ascii="Times New Roman" w:eastAsia="Calibri" w:hAnsi="Times New Roman"/>
          <w:iCs/>
          <w:color w:val="auto"/>
          <w:sz w:val="22"/>
          <w:szCs w:val="24"/>
        </w:rPr>
        <w:t xml:space="preserve"> Medical College, </w:t>
      </w:r>
      <w:r w:rsidR="003224C5">
        <w:rPr>
          <w:rFonts w:ascii="Times New Roman" w:eastAsia="Calibri" w:hAnsi="Times New Roman"/>
          <w:iCs/>
          <w:color w:val="auto"/>
          <w:sz w:val="22"/>
          <w:szCs w:val="24"/>
        </w:rPr>
        <w:t>India</w:t>
      </w:r>
    </w:p>
    <w:p w14:paraId="7576D625" w14:textId="77777777" w:rsidR="003224C5" w:rsidRDefault="003224C5" w:rsidP="003224C5">
      <w:pPr>
        <w:pStyle w:val="MDPI16affiliation"/>
        <w:spacing w:after="100" w:afterAutospacing="1"/>
        <w:ind w:left="0" w:firstLine="0"/>
        <w:jc w:val="center"/>
        <w:rPr>
          <w:rFonts w:ascii="Times New Roman" w:eastAsia="Calibri" w:hAnsi="Times New Roman"/>
          <w:b/>
          <w:iCs/>
          <w:color w:val="auto"/>
          <w:sz w:val="24"/>
          <w:szCs w:val="24"/>
        </w:rPr>
      </w:pPr>
      <w:r w:rsidRPr="003224C5">
        <w:rPr>
          <w:rFonts w:ascii="Times New Roman" w:eastAsia="Calibri" w:hAnsi="Times New Roman"/>
          <w:b/>
          <w:iCs/>
          <w:color w:val="auto"/>
          <w:sz w:val="24"/>
          <w:szCs w:val="24"/>
        </w:rPr>
        <w:t>Abstract</w:t>
      </w:r>
    </w:p>
    <w:p w14:paraId="1D0BE896" w14:textId="77777777" w:rsidR="003224C5" w:rsidRPr="003F4606" w:rsidRDefault="003224C5" w:rsidP="003224C5">
      <w:pPr>
        <w:spacing w:after="120"/>
        <w:jc w:val="both"/>
        <w:rPr>
          <w:rFonts w:ascii="Times New Roman" w:hAnsi="Times New Roman" w:cs="Times New Roman"/>
          <w:sz w:val="20"/>
        </w:rPr>
      </w:pPr>
      <w:r w:rsidRPr="003F4606">
        <w:rPr>
          <w:rFonts w:ascii="Times New Roman" w:hAnsi="Times New Roman" w:cs="Times New Roman"/>
          <w:b/>
          <w:sz w:val="20"/>
        </w:rPr>
        <w:t>Aim:</w:t>
      </w:r>
      <w:r w:rsidRPr="003F4606">
        <w:rPr>
          <w:rFonts w:ascii="Times New Roman" w:hAnsi="Times New Roman" w:cs="Times New Roman"/>
          <w:sz w:val="20"/>
        </w:rPr>
        <w:t xml:space="preserve"> Due to the rising cases of cutaneous reactions that are observed worldwide following COVID-19 vaccinations, the aim of this study is to investigate the cutaneous complication that occur following mRNA-1273 (</w:t>
      </w:r>
      <w:proofErr w:type="spellStart"/>
      <w:r w:rsidRPr="003F4606">
        <w:rPr>
          <w:rFonts w:ascii="Times New Roman" w:hAnsi="Times New Roman" w:cs="Times New Roman"/>
          <w:sz w:val="20"/>
        </w:rPr>
        <w:t>Moderna</w:t>
      </w:r>
      <w:proofErr w:type="spellEnd"/>
      <w:r w:rsidRPr="003F4606">
        <w:rPr>
          <w:rFonts w:ascii="Times New Roman" w:hAnsi="Times New Roman" w:cs="Times New Roman"/>
          <w:sz w:val="20"/>
        </w:rPr>
        <w:t>), BNT162b2 (Pfizer-</w:t>
      </w:r>
      <w:proofErr w:type="spellStart"/>
      <w:r w:rsidRPr="003F4606">
        <w:rPr>
          <w:rFonts w:ascii="Times New Roman" w:hAnsi="Times New Roman" w:cs="Times New Roman"/>
          <w:sz w:val="20"/>
        </w:rPr>
        <w:t>BioNTech</w:t>
      </w:r>
      <w:proofErr w:type="spellEnd"/>
      <w:r w:rsidRPr="003F4606">
        <w:rPr>
          <w:rFonts w:ascii="Times New Roman" w:hAnsi="Times New Roman" w:cs="Times New Roman"/>
          <w:sz w:val="20"/>
        </w:rPr>
        <w:t>) and AZD1222 (</w:t>
      </w:r>
      <w:proofErr w:type="spellStart"/>
      <w:r w:rsidRPr="003F4606">
        <w:rPr>
          <w:rFonts w:ascii="Times New Roman" w:hAnsi="Times New Roman" w:cs="Times New Roman"/>
          <w:sz w:val="20"/>
        </w:rPr>
        <w:t>AstraAzeneca</w:t>
      </w:r>
      <w:proofErr w:type="spellEnd"/>
      <w:r w:rsidRPr="003F4606">
        <w:rPr>
          <w:rFonts w:ascii="Times New Roman" w:hAnsi="Times New Roman" w:cs="Times New Roman"/>
          <w:sz w:val="20"/>
        </w:rPr>
        <w:t>-Oxford University) vaccination, through the already published reports.</w:t>
      </w:r>
    </w:p>
    <w:p w14:paraId="6CE68507" w14:textId="77777777" w:rsidR="003224C5" w:rsidRPr="003F4606" w:rsidRDefault="003224C5" w:rsidP="003224C5">
      <w:pPr>
        <w:spacing w:after="120"/>
        <w:jc w:val="both"/>
        <w:rPr>
          <w:rFonts w:ascii="Times New Roman" w:hAnsi="Times New Roman" w:cs="Times New Roman"/>
          <w:sz w:val="20"/>
        </w:rPr>
      </w:pPr>
      <w:r w:rsidRPr="003F4606">
        <w:rPr>
          <w:rFonts w:ascii="Times New Roman" w:hAnsi="Times New Roman" w:cs="Times New Roman"/>
          <w:b/>
          <w:sz w:val="20"/>
        </w:rPr>
        <w:t>Material:</w:t>
      </w:r>
      <w:r w:rsidRPr="003F4606">
        <w:rPr>
          <w:rFonts w:ascii="Times New Roman" w:hAnsi="Times New Roman" w:cs="Times New Roman"/>
          <w:sz w:val="20"/>
        </w:rPr>
        <w:t xml:space="preserve"> Material was gathered from the already published reports regarding the cutaneous complications of the above vaccines, published until September 30, 2021. The search was conducted in the PubMed, Google scholar and Scopus databases, as well as in the preprint server </w:t>
      </w:r>
      <w:proofErr w:type="spellStart"/>
      <w:r w:rsidRPr="003F4606">
        <w:rPr>
          <w:rFonts w:ascii="Times New Roman" w:hAnsi="Times New Roman" w:cs="Times New Roman"/>
          <w:sz w:val="20"/>
        </w:rPr>
        <w:t>bioRxiv</w:t>
      </w:r>
      <w:proofErr w:type="spellEnd"/>
      <w:r w:rsidRPr="003F4606">
        <w:rPr>
          <w:rFonts w:ascii="Times New Roman" w:hAnsi="Times New Roman" w:cs="Times New Roman"/>
          <w:sz w:val="20"/>
        </w:rPr>
        <w:t>. The review includes eighty studies that describe a total of 1415 complications.</w:t>
      </w:r>
    </w:p>
    <w:p w14:paraId="628A42C5" w14:textId="77777777" w:rsidR="003224C5" w:rsidRPr="003F4606" w:rsidRDefault="003224C5" w:rsidP="003224C5">
      <w:pPr>
        <w:spacing w:after="120"/>
        <w:jc w:val="both"/>
        <w:rPr>
          <w:rFonts w:ascii="Times New Roman" w:hAnsi="Times New Roman" w:cs="Times New Roman"/>
          <w:sz w:val="20"/>
        </w:rPr>
      </w:pPr>
      <w:r w:rsidRPr="003F4606">
        <w:rPr>
          <w:rFonts w:ascii="Times New Roman" w:hAnsi="Times New Roman" w:cs="Times New Roman"/>
          <w:b/>
          <w:sz w:val="20"/>
        </w:rPr>
        <w:t>Results:</w:t>
      </w:r>
      <w:r w:rsidRPr="003F4606">
        <w:rPr>
          <w:rFonts w:ascii="Times New Roman" w:hAnsi="Times New Roman" w:cs="Times New Roman"/>
          <w:sz w:val="20"/>
        </w:rPr>
        <w:t xml:space="preserve"> More cutaneous reactions were observed in women (81.6%). The most common complication was delayed large local reactions (40.4%), followed by local injection site reactions (16.5%), zoster (9.5%), and urticarial eruptions (9.0%). Injection site and delayed large local reactions were predominantly caused by the mRNA-1273 vaccine (79.5% and 72.0%, respectively). BNT162b2 vaccination was linked to distant reactions (50.1%) more than mRNA-1273 (30.0%). The most common distant reaction was Zoster. Of reactions with adequate information for both vaccine doses, 58.3% occurred only after the first, 26.9% only after the second, and 14.8% after both doses.</w:t>
      </w:r>
    </w:p>
    <w:p w14:paraId="6D3068B0" w14:textId="77777777" w:rsidR="003224C5" w:rsidRPr="003F4606" w:rsidRDefault="003224C5" w:rsidP="003224C5">
      <w:pPr>
        <w:spacing w:after="100" w:afterAutospacing="1"/>
        <w:jc w:val="both"/>
        <w:rPr>
          <w:rFonts w:ascii="Times New Roman" w:hAnsi="Times New Roman" w:cs="Times New Roman"/>
          <w:sz w:val="20"/>
        </w:rPr>
      </w:pPr>
      <w:r w:rsidRPr="003F4606">
        <w:rPr>
          <w:rFonts w:ascii="Times New Roman" w:hAnsi="Times New Roman" w:cs="Times New Roman"/>
          <w:b/>
          <w:sz w:val="20"/>
        </w:rPr>
        <w:t>Conclusion:</w:t>
      </w:r>
      <w:r w:rsidRPr="003F4606">
        <w:rPr>
          <w:rFonts w:ascii="Times New Roman" w:hAnsi="Times New Roman" w:cs="Times New Roman"/>
          <w:sz w:val="20"/>
        </w:rPr>
        <w:t xml:space="preserve"> Overall, a large spectrum of cutaneous reactions occurred following the COVID-19 vaccination. Most were mild and without long-term health implications. Therefore, it appears like such dermatologic complications do not contraindicate subsequent vaccination.</w:t>
      </w:r>
    </w:p>
    <w:p w14:paraId="7C59A391" w14:textId="6B918E8D" w:rsidR="001D0A61" w:rsidRPr="001D0A61" w:rsidRDefault="001D0A61" w:rsidP="003224C5">
      <w:pPr>
        <w:spacing w:after="100" w:afterAutospacing="1"/>
        <w:rPr>
          <w:rFonts w:ascii="Times New Roman" w:hAnsi="Times New Roman" w:cs="Times New Roman"/>
          <w:b/>
        </w:rPr>
      </w:pPr>
      <w:r w:rsidRPr="001D0A61">
        <w:rPr>
          <w:rFonts w:ascii="Times New Roman" w:hAnsi="Times New Roman" w:cs="Times New Roman"/>
          <w:b/>
        </w:rPr>
        <w:t>Biography</w:t>
      </w:r>
    </w:p>
    <w:p w14:paraId="3809D087" w14:textId="752D2211" w:rsidR="001D0A61" w:rsidRPr="003224C5" w:rsidRDefault="001D0A61" w:rsidP="001D0A61">
      <w:pPr>
        <w:jc w:val="both"/>
        <w:rPr>
          <w:rFonts w:ascii="Times New Roman" w:hAnsi="Times New Roman" w:cs="Times New Roman"/>
          <w:sz w:val="20"/>
        </w:rPr>
      </w:pPr>
      <w:r w:rsidRPr="003224C5">
        <w:rPr>
          <w:rFonts w:ascii="Times New Roman" w:hAnsi="Times New Roman" w:cs="Times New Roman"/>
          <w:sz w:val="20"/>
        </w:rPr>
        <w:t>Maria-</w:t>
      </w:r>
      <w:proofErr w:type="spellStart"/>
      <w:r w:rsidRPr="003224C5">
        <w:rPr>
          <w:rFonts w:ascii="Times New Roman" w:hAnsi="Times New Roman" w:cs="Times New Roman"/>
          <w:sz w:val="20"/>
        </w:rPr>
        <w:t>Eleni</w:t>
      </w:r>
      <w:proofErr w:type="spellEnd"/>
      <w:r w:rsidRPr="003224C5">
        <w:rPr>
          <w:rFonts w:ascii="Times New Roman" w:hAnsi="Times New Roman" w:cs="Times New Roman"/>
          <w:sz w:val="20"/>
        </w:rPr>
        <w:t xml:space="preserve"> </w:t>
      </w:r>
      <w:proofErr w:type="spellStart"/>
      <w:r w:rsidRPr="003224C5">
        <w:rPr>
          <w:rFonts w:ascii="Times New Roman" w:hAnsi="Times New Roman" w:cs="Times New Roman"/>
          <w:sz w:val="20"/>
        </w:rPr>
        <w:t>Paroikaki</w:t>
      </w:r>
      <w:proofErr w:type="spellEnd"/>
      <w:r w:rsidRPr="003224C5">
        <w:rPr>
          <w:rFonts w:ascii="Times New Roman" w:hAnsi="Times New Roman" w:cs="Times New Roman"/>
          <w:sz w:val="20"/>
        </w:rPr>
        <w:t xml:space="preserve"> is currently a Year 4 medical student at Imperial College London. She has a special interest in dermatology and is hoping to pursue a career in the field in the future. She completed her primary and secondary education at the Hellenic American Educational Foundation in Athens, Greece, from which she graduated in 2018. She is a member of the British Association of Dermatology, the Royal Society of Medicine and the British Medical Association, as well as secretary of the Dermatology Society of Imperial College London. During the summer, she had the pleasure to work and be co-author of a worldwide review on the “Cutaneous Complications of mRNA and AZD1222 COVID-19</w:t>
      </w:r>
      <w:bookmarkStart w:id="0" w:name="_GoBack"/>
      <w:bookmarkEnd w:id="0"/>
      <w:r w:rsidRPr="003224C5">
        <w:rPr>
          <w:rFonts w:ascii="Times New Roman" w:hAnsi="Times New Roman" w:cs="Times New Roman"/>
          <w:sz w:val="20"/>
        </w:rPr>
        <w:t xml:space="preserve"> Vaccines”, which got published in the “Microorganisms” journal. Currently, she is working on a research project around leprosy, as part of her intercalated BSc degree in Medical Humanities, Philosophy and Law.</w:t>
      </w:r>
    </w:p>
    <w:sectPr w:rsidR="001D0A61" w:rsidRPr="003224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860"/>
    <w:rsid w:val="00000E44"/>
    <w:rsid w:val="0000506F"/>
    <w:rsid w:val="00033993"/>
    <w:rsid w:val="000811C4"/>
    <w:rsid w:val="000A26A1"/>
    <w:rsid w:val="000B00E0"/>
    <w:rsid w:val="000C3958"/>
    <w:rsid w:val="000C5F8E"/>
    <w:rsid w:val="00127FAC"/>
    <w:rsid w:val="001642BE"/>
    <w:rsid w:val="001C7C79"/>
    <w:rsid w:val="001D0A61"/>
    <w:rsid w:val="002D5AFE"/>
    <w:rsid w:val="003107D2"/>
    <w:rsid w:val="003128A3"/>
    <w:rsid w:val="003224C5"/>
    <w:rsid w:val="00361207"/>
    <w:rsid w:val="003B583E"/>
    <w:rsid w:val="00425219"/>
    <w:rsid w:val="004D43DC"/>
    <w:rsid w:val="004F770E"/>
    <w:rsid w:val="00545AF8"/>
    <w:rsid w:val="00556A84"/>
    <w:rsid w:val="00561963"/>
    <w:rsid w:val="005C38C6"/>
    <w:rsid w:val="005D6985"/>
    <w:rsid w:val="005F76B7"/>
    <w:rsid w:val="0060248F"/>
    <w:rsid w:val="006F18E1"/>
    <w:rsid w:val="00772593"/>
    <w:rsid w:val="0080762F"/>
    <w:rsid w:val="00813860"/>
    <w:rsid w:val="00815CF4"/>
    <w:rsid w:val="008227E7"/>
    <w:rsid w:val="0086379D"/>
    <w:rsid w:val="00881A6D"/>
    <w:rsid w:val="0089420B"/>
    <w:rsid w:val="009A6F8D"/>
    <w:rsid w:val="009F2B7D"/>
    <w:rsid w:val="00A14708"/>
    <w:rsid w:val="00A3334C"/>
    <w:rsid w:val="00B01075"/>
    <w:rsid w:val="00B67735"/>
    <w:rsid w:val="00B83296"/>
    <w:rsid w:val="00BE79CC"/>
    <w:rsid w:val="00C160F7"/>
    <w:rsid w:val="00C41C82"/>
    <w:rsid w:val="00CD4F37"/>
    <w:rsid w:val="00E23732"/>
    <w:rsid w:val="00E26D2E"/>
    <w:rsid w:val="00F95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B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Normal"/>
    <w:qFormat/>
    <w:rsid w:val="005C38C6"/>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next w:val="Normal"/>
    <w:qFormat/>
    <w:rsid w:val="005C38C6"/>
    <w:pPr>
      <w:adjustRightInd w:val="0"/>
      <w:snapToGrid w:val="0"/>
      <w:spacing w:after="360" w:line="260" w:lineRule="atLeast"/>
    </w:pPr>
    <w:rPr>
      <w:rFonts w:ascii="Palatino Linotype" w:eastAsia="Times New Roman" w:hAnsi="Palatino Linotype" w:cs="Times New Roman"/>
      <w:b/>
      <w:color w:val="000000"/>
      <w:sz w:val="20"/>
      <w:szCs w:val="22"/>
      <w:lang w:eastAsia="de-DE" w:bidi="en-US"/>
    </w:rPr>
  </w:style>
  <w:style w:type="paragraph" w:customStyle="1" w:styleId="MDPI16affiliation">
    <w:name w:val="MDPI_1.6_affiliation"/>
    <w:qFormat/>
    <w:rsid w:val="005C38C6"/>
    <w:pPr>
      <w:adjustRightInd w:val="0"/>
      <w:snapToGrid w:val="0"/>
      <w:spacing w:line="200" w:lineRule="atLeast"/>
      <w:ind w:left="2806" w:hanging="198"/>
    </w:pPr>
    <w:rPr>
      <w:rFonts w:ascii="Palatino Linotype" w:eastAsia="Times New Roman" w:hAnsi="Palatino Linotype" w:cs="Times New Roman"/>
      <w:color w:val="000000"/>
      <w:sz w:val="16"/>
      <w:szCs w:val="18"/>
      <w:lang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Normal"/>
    <w:qFormat/>
    <w:rsid w:val="005C38C6"/>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next w:val="Normal"/>
    <w:qFormat/>
    <w:rsid w:val="005C38C6"/>
    <w:pPr>
      <w:adjustRightInd w:val="0"/>
      <w:snapToGrid w:val="0"/>
      <w:spacing w:after="360" w:line="260" w:lineRule="atLeast"/>
    </w:pPr>
    <w:rPr>
      <w:rFonts w:ascii="Palatino Linotype" w:eastAsia="Times New Roman" w:hAnsi="Palatino Linotype" w:cs="Times New Roman"/>
      <w:b/>
      <w:color w:val="000000"/>
      <w:sz w:val="20"/>
      <w:szCs w:val="22"/>
      <w:lang w:eastAsia="de-DE" w:bidi="en-US"/>
    </w:rPr>
  </w:style>
  <w:style w:type="paragraph" w:customStyle="1" w:styleId="MDPI16affiliation">
    <w:name w:val="MDPI_1.6_affiliation"/>
    <w:qFormat/>
    <w:rsid w:val="005C38C6"/>
    <w:pPr>
      <w:adjustRightInd w:val="0"/>
      <w:snapToGrid w:val="0"/>
      <w:spacing w:line="200" w:lineRule="atLeast"/>
      <w:ind w:left="2806" w:hanging="198"/>
    </w:pPr>
    <w:rPr>
      <w:rFonts w:ascii="Palatino Linotype" w:eastAsia="Times New Roman" w:hAnsi="Palatino Linotype" w:cs="Times New Roman"/>
      <w:color w:val="000000"/>
      <w:sz w:val="16"/>
      <w:szCs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Paroikaki, Maria</dc:creator>
  <cp:lastModifiedBy>Swetha Sandala</cp:lastModifiedBy>
  <cp:revision>13</cp:revision>
  <dcterms:created xsi:type="dcterms:W3CDTF">2022-04-25T10:22:00Z</dcterms:created>
  <dcterms:modified xsi:type="dcterms:W3CDTF">2022-05-27T11:25:00Z</dcterms:modified>
</cp:coreProperties>
</file>