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258" w:rsidRDefault="000056D5">
      <w:pPr>
        <w:rPr>
          <w:rFonts w:ascii="Times New Roman" w:hAnsi="Times New Roman" w:cs="Times New Roman"/>
          <w:b/>
          <w:sz w:val="32"/>
          <w:szCs w:val="32"/>
        </w:rPr>
      </w:pPr>
      <w:commentRangeStart w:id="0"/>
      <w:r w:rsidRPr="000056D5">
        <w:rPr>
          <w:rFonts w:ascii="Times New Roman" w:hAnsi="Times New Roman" w:cs="Times New Roman"/>
          <w:b/>
          <w:sz w:val="32"/>
          <w:szCs w:val="32"/>
        </w:rPr>
        <w:t xml:space="preserve">Incidence and diagnosis of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a</w:t>
      </w:r>
      <w:r w:rsidRPr="000056D5">
        <w:rPr>
          <w:rFonts w:ascii="Times New Roman" w:hAnsi="Times New Roman" w:cs="Times New Roman"/>
          <w:b/>
          <w:sz w:val="32"/>
          <w:szCs w:val="32"/>
        </w:rPr>
        <w:t>mpullary</w:t>
      </w:r>
      <w:proofErr w:type="spellEnd"/>
      <w:r w:rsidRPr="000056D5">
        <w:rPr>
          <w:rFonts w:ascii="Times New Roman" w:hAnsi="Times New Roman" w:cs="Times New Roman"/>
          <w:b/>
          <w:sz w:val="32"/>
          <w:szCs w:val="32"/>
        </w:rPr>
        <w:t xml:space="preserve"> carcinoma in </w:t>
      </w:r>
      <w:proofErr w:type="spellStart"/>
      <w:r w:rsidRPr="000056D5">
        <w:rPr>
          <w:rFonts w:ascii="Times New Roman" w:hAnsi="Times New Roman" w:cs="Times New Roman"/>
          <w:b/>
          <w:sz w:val="32"/>
          <w:szCs w:val="32"/>
        </w:rPr>
        <w:t>Dhulikhel</w:t>
      </w:r>
      <w:proofErr w:type="spellEnd"/>
      <w:r w:rsidRPr="000056D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h</w:t>
      </w:r>
      <w:r w:rsidRPr="000056D5">
        <w:rPr>
          <w:rFonts w:ascii="Times New Roman" w:hAnsi="Times New Roman" w:cs="Times New Roman"/>
          <w:b/>
          <w:sz w:val="32"/>
          <w:szCs w:val="32"/>
        </w:rPr>
        <w:t>ospital</w:t>
      </w:r>
      <w:commentRangeEnd w:id="0"/>
      <w:r w:rsidR="001B6FE8">
        <w:rPr>
          <w:rStyle w:val="CommentReference"/>
        </w:rPr>
        <w:commentReference w:id="0"/>
      </w:r>
    </w:p>
    <w:p w:rsidR="000056D5" w:rsidRDefault="000056D5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0056D5">
        <w:rPr>
          <w:rFonts w:ascii="Times New Roman" w:hAnsi="Times New Roman" w:cs="Times New Roman"/>
          <w:sz w:val="24"/>
          <w:szCs w:val="32"/>
        </w:rPr>
        <w:t>Dhakal</w:t>
      </w:r>
      <w:proofErr w:type="spellEnd"/>
      <w:r w:rsidRPr="000056D5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0056D5">
        <w:rPr>
          <w:rFonts w:ascii="Times New Roman" w:hAnsi="Times New Roman" w:cs="Times New Roman"/>
          <w:sz w:val="24"/>
          <w:szCs w:val="32"/>
        </w:rPr>
        <w:t>Binod</w:t>
      </w:r>
      <w:proofErr w:type="spellEnd"/>
    </w:p>
    <w:p w:rsidR="000056D5" w:rsidRDefault="000056D5">
      <w:pPr>
        <w:rPr>
          <w:rFonts w:ascii="Times New Roman" w:hAnsi="Times New Roman" w:cs="Times New Roman"/>
          <w:szCs w:val="32"/>
        </w:rPr>
      </w:pPr>
      <w:proofErr w:type="spellStart"/>
      <w:r w:rsidRPr="000056D5">
        <w:rPr>
          <w:rFonts w:ascii="Times New Roman" w:hAnsi="Times New Roman" w:cs="Times New Roman"/>
          <w:szCs w:val="32"/>
        </w:rPr>
        <w:t>Dhulikhel</w:t>
      </w:r>
      <w:proofErr w:type="spellEnd"/>
      <w:r w:rsidRPr="000056D5">
        <w:rPr>
          <w:rFonts w:ascii="Times New Roman" w:hAnsi="Times New Roman" w:cs="Times New Roman"/>
          <w:szCs w:val="32"/>
        </w:rPr>
        <w:t xml:space="preserve"> Hospital Kathmandu University Hospital</w:t>
      </w:r>
      <w:r>
        <w:rPr>
          <w:rFonts w:ascii="Times New Roman" w:hAnsi="Times New Roman" w:cs="Times New Roman"/>
          <w:szCs w:val="32"/>
        </w:rPr>
        <w:t>, Nepal</w:t>
      </w:r>
    </w:p>
    <w:p w:rsidR="000056D5" w:rsidRDefault="000056D5" w:rsidP="000056D5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0056D5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0056D5" w:rsidRPr="000056D5" w:rsidRDefault="000056D5" w:rsidP="000056D5">
      <w:pPr>
        <w:jc w:val="both"/>
        <w:rPr>
          <w:rFonts w:ascii="Times New Roman" w:hAnsi="Times New Roman" w:cs="Times New Roman"/>
          <w:sz w:val="20"/>
          <w:szCs w:val="32"/>
        </w:rPr>
      </w:pPr>
      <w:r w:rsidRPr="000056D5">
        <w:rPr>
          <w:rFonts w:ascii="Times New Roman" w:hAnsi="Times New Roman" w:cs="Times New Roman"/>
          <w:b/>
          <w:sz w:val="20"/>
          <w:szCs w:val="32"/>
        </w:rPr>
        <w:t>Background:</w:t>
      </w:r>
      <w:r w:rsidRPr="000056D5">
        <w:rPr>
          <w:rFonts w:ascii="Times New Roman" w:hAnsi="Times New Roman" w:cs="Times New Roman"/>
          <w:sz w:val="20"/>
          <w:szCs w:val="32"/>
        </w:rPr>
        <w:t xml:space="preserve"> Endoscopy from a suspected ampulla of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vat</w:t>
      </w:r>
      <w:r w:rsidR="00EB477D">
        <w:rPr>
          <w:rFonts w:ascii="Times New Roman" w:hAnsi="Times New Roman" w:cs="Times New Roman"/>
          <w:sz w:val="20"/>
          <w:szCs w:val="32"/>
        </w:rPr>
        <w:t>e</w:t>
      </w:r>
      <w:r w:rsidRPr="000056D5">
        <w:rPr>
          <w:rFonts w:ascii="Times New Roman" w:hAnsi="Times New Roman" w:cs="Times New Roman"/>
          <w:sz w:val="20"/>
          <w:szCs w:val="32"/>
        </w:rPr>
        <w:t>r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may establish an early preoperative diagnosis of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ampullary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carcinoma. However, information regarding the diagnostic accuracy of this procedure is limited and variable. The purpose of this study was to find the incidence of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ampullary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carcinoma in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Dhulikhel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Hospital and to assess the preoperative diagnostic accuracy of Endoscopic/ERCP appearance and endoscopic biopsy in all cases with suspicion of tumor.</w:t>
      </w:r>
    </w:p>
    <w:p w:rsidR="000056D5" w:rsidRPr="000056D5" w:rsidRDefault="000056D5" w:rsidP="000056D5">
      <w:pPr>
        <w:jc w:val="both"/>
        <w:rPr>
          <w:rFonts w:ascii="Times New Roman" w:hAnsi="Times New Roman" w:cs="Times New Roman"/>
          <w:sz w:val="20"/>
          <w:szCs w:val="32"/>
        </w:rPr>
      </w:pPr>
      <w:r w:rsidRPr="000056D5">
        <w:rPr>
          <w:rFonts w:ascii="Times New Roman" w:hAnsi="Times New Roman" w:cs="Times New Roman"/>
          <w:b/>
          <w:sz w:val="20"/>
          <w:szCs w:val="32"/>
        </w:rPr>
        <w:t xml:space="preserve">Materials and </w:t>
      </w:r>
      <w:r w:rsidRPr="000056D5">
        <w:rPr>
          <w:rFonts w:ascii="Times New Roman" w:hAnsi="Times New Roman" w:cs="Times New Roman"/>
          <w:b/>
          <w:sz w:val="20"/>
          <w:szCs w:val="32"/>
        </w:rPr>
        <w:t>m</w:t>
      </w:r>
      <w:r w:rsidRPr="000056D5">
        <w:rPr>
          <w:rFonts w:ascii="Times New Roman" w:hAnsi="Times New Roman" w:cs="Times New Roman"/>
          <w:b/>
          <w:sz w:val="20"/>
          <w:szCs w:val="32"/>
        </w:rPr>
        <w:t>ethods:</w:t>
      </w:r>
      <w:r w:rsidRPr="000056D5">
        <w:rPr>
          <w:rFonts w:ascii="Times New Roman" w:hAnsi="Times New Roman" w:cs="Times New Roman"/>
          <w:sz w:val="20"/>
          <w:szCs w:val="32"/>
        </w:rPr>
        <w:t xml:space="preserve"> Among patients who were performed endoscopy during a one year period; a suspicious ampulla of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vat</w:t>
      </w:r>
      <w:r w:rsidR="00EB477D">
        <w:rPr>
          <w:rFonts w:ascii="Times New Roman" w:hAnsi="Times New Roman" w:cs="Times New Roman"/>
          <w:sz w:val="20"/>
          <w:szCs w:val="32"/>
        </w:rPr>
        <w:t>e</w:t>
      </w:r>
      <w:r w:rsidRPr="000056D5">
        <w:rPr>
          <w:rFonts w:ascii="Times New Roman" w:hAnsi="Times New Roman" w:cs="Times New Roman"/>
          <w:sz w:val="20"/>
          <w:szCs w:val="32"/>
        </w:rPr>
        <w:t>r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was seen in 44 cases. Endoscopic biopsy specimens were classified into four groups based on the degree of epithelial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atypia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>: group 1 (no evidence of malignancy), group 2 (presence of dysplasia), group 3 (suspicious of malignancy) and group 4 (positive for malignancy). In each case comparison was made between the pre-endoscopic biopsy clinical diagnosis and endoscopic appearance.</w:t>
      </w:r>
    </w:p>
    <w:p w:rsidR="000056D5" w:rsidRPr="000056D5" w:rsidRDefault="000056D5" w:rsidP="000056D5">
      <w:pPr>
        <w:jc w:val="both"/>
        <w:rPr>
          <w:rFonts w:ascii="Times New Roman" w:hAnsi="Times New Roman" w:cs="Times New Roman"/>
          <w:sz w:val="20"/>
          <w:szCs w:val="32"/>
        </w:rPr>
      </w:pPr>
      <w:r w:rsidRPr="000056D5">
        <w:rPr>
          <w:rFonts w:ascii="Times New Roman" w:hAnsi="Times New Roman" w:cs="Times New Roman"/>
          <w:b/>
          <w:sz w:val="20"/>
          <w:szCs w:val="32"/>
        </w:rPr>
        <w:t>Results:</w:t>
      </w:r>
      <w:r w:rsidRPr="000056D5">
        <w:rPr>
          <w:rFonts w:ascii="Times New Roman" w:hAnsi="Times New Roman" w:cs="Times New Roman"/>
          <w:sz w:val="20"/>
          <w:szCs w:val="32"/>
        </w:rPr>
        <w:t xml:space="preserve"> Endoscopic biopsy diagnosis of malignancy (Group 4) were seen in 22 cases, Suspicious of malignancy (group</w:t>
      </w:r>
      <w:r w:rsidR="00662CCB">
        <w:rPr>
          <w:rFonts w:ascii="Times New Roman" w:hAnsi="Times New Roman" w:cs="Times New Roman"/>
          <w:sz w:val="20"/>
          <w:szCs w:val="32"/>
        </w:rPr>
        <w:t xml:space="preserve"> </w:t>
      </w:r>
      <w:r w:rsidRPr="000056D5">
        <w:rPr>
          <w:rFonts w:ascii="Times New Roman" w:hAnsi="Times New Roman" w:cs="Times New Roman"/>
          <w:sz w:val="20"/>
          <w:szCs w:val="32"/>
        </w:rPr>
        <w:t>3) in 3 cases, Dysplasia (Group 2) in 9 cases and no evidence of malignancy (Group 1) in 10 cases. Pre-endoscopic diagnostic accuracy of endoscopy/ ERCP was 50% compared to the diagnosis by biopsy.</w:t>
      </w:r>
    </w:p>
    <w:p w:rsidR="000056D5" w:rsidRPr="000056D5" w:rsidRDefault="000056D5" w:rsidP="000056D5">
      <w:pPr>
        <w:jc w:val="both"/>
        <w:rPr>
          <w:rFonts w:ascii="Times New Roman" w:hAnsi="Times New Roman" w:cs="Times New Roman"/>
          <w:sz w:val="20"/>
          <w:szCs w:val="32"/>
        </w:rPr>
      </w:pPr>
      <w:r w:rsidRPr="000056D5">
        <w:rPr>
          <w:rFonts w:ascii="Times New Roman" w:hAnsi="Times New Roman" w:cs="Times New Roman"/>
          <w:b/>
          <w:sz w:val="20"/>
          <w:szCs w:val="32"/>
        </w:rPr>
        <w:t>Conclusions:</w:t>
      </w:r>
      <w:r w:rsidRPr="000056D5">
        <w:rPr>
          <w:rFonts w:ascii="Times New Roman" w:hAnsi="Times New Roman" w:cs="Times New Roman"/>
          <w:sz w:val="20"/>
          <w:szCs w:val="32"/>
        </w:rPr>
        <w:t xml:space="preserve"> The accuracy of clinical diagnosis and endoscopy is limited. This limitation must be considered when evaluating the optimal management of patients with suspected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ampullary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tumor.</w:t>
      </w:r>
    </w:p>
    <w:p w:rsidR="000056D5" w:rsidRDefault="000056D5" w:rsidP="000056D5">
      <w:pPr>
        <w:jc w:val="both"/>
        <w:rPr>
          <w:rFonts w:ascii="Times New Roman" w:hAnsi="Times New Roman" w:cs="Times New Roman"/>
          <w:sz w:val="20"/>
          <w:szCs w:val="32"/>
        </w:rPr>
      </w:pPr>
      <w:r w:rsidRPr="000056D5">
        <w:rPr>
          <w:rFonts w:ascii="Times New Roman" w:hAnsi="Times New Roman" w:cs="Times New Roman"/>
          <w:b/>
          <w:sz w:val="20"/>
          <w:szCs w:val="32"/>
        </w:rPr>
        <w:t>Keywords:</w:t>
      </w:r>
      <w:r w:rsidRPr="000056D5">
        <w:rPr>
          <w:rFonts w:ascii="Times New Roman" w:hAnsi="Times New Roman" w:cs="Times New Roman"/>
          <w:sz w:val="20"/>
          <w:szCs w:val="32"/>
        </w:rPr>
        <w:t xml:space="preserve"> </w:t>
      </w:r>
      <w:r w:rsidRPr="000056D5">
        <w:rPr>
          <w:rFonts w:ascii="Times New Roman" w:hAnsi="Times New Roman" w:cs="Times New Roman"/>
          <w:sz w:val="20"/>
          <w:szCs w:val="32"/>
        </w:rPr>
        <w:t xml:space="preserve">Ampulla of </w:t>
      </w:r>
      <w:proofErr w:type="spellStart"/>
      <w:r>
        <w:rPr>
          <w:rFonts w:ascii="Times New Roman" w:hAnsi="Times New Roman" w:cs="Times New Roman"/>
          <w:sz w:val="20"/>
          <w:szCs w:val="32"/>
        </w:rPr>
        <w:t>v</w:t>
      </w:r>
      <w:r w:rsidRPr="000056D5">
        <w:rPr>
          <w:rFonts w:ascii="Times New Roman" w:hAnsi="Times New Roman" w:cs="Times New Roman"/>
          <w:sz w:val="20"/>
          <w:szCs w:val="32"/>
        </w:rPr>
        <w:t>at</w:t>
      </w:r>
      <w:r w:rsidR="008042BA">
        <w:rPr>
          <w:rFonts w:ascii="Times New Roman" w:hAnsi="Times New Roman" w:cs="Times New Roman"/>
          <w:sz w:val="20"/>
          <w:szCs w:val="32"/>
        </w:rPr>
        <w:t>e</w:t>
      </w:r>
      <w:r w:rsidRPr="000056D5">
        <w:rPr>
          <w:rFonts w:ascii="Times New Roman" w:hAnsi="Times New Roman" w:cs="Times New Roman"/>
          <w:sz w:val="20"/>
          <w:szCs w:val="32"/>
        </w:rPr>
        <w:t>r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Ampullary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carcinoma, Diagnostic accuracy, Dysplasia, Endoscopic biopsy, ERCP,</w:t>
      </w:r>
      <w:r w:rsidR="00662CCB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Ampullary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carcinoma</w:t>
      </w:r>
      <w:r w:rsidRPr="000056D5">
        <w:rPr>
          <w:rFonts w:ascii="Times New Roman" w:hAnsi="Times New Roman" w:cs="Times New Roman"/>
          <w:sz w:val="20"/>
          <w:szCs w:val="32"/>
        </w:rPr>
        <w:t>.</w:t>
      </w:r>
    </w:p>
    <w:p w:rsidR="000056D5" w:rsidRDefault="000056D5" w:rsidP="000056D5">
      <w:pPr>
        <w:jc w:val="both"/>
        <w:rPr>
          <w:rFonts w:ascii="Times New Roman" w:hAnsi="Times New Roman" w:cs="Times New Roman"/>
          <w:b/>
          <w:sz w:val="24"/>
          <w:szCs w:val="32"/>
        </w:rPr>
      </w:pPr>
      <w:r w:rsidRPr="000056D5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0056D5" w:rsidRPr="000056D5" w:rsidRDefault="000056D5" w:rsidP="000056D5">
      <w:p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 w:rsidRPr="000056D5">
        <w:rPr>
          <w:rFonts w:ascii="Times New Roman" w:hAnsi="Times New Roman" w:cs="Times New Roman"/>
          <w:sz w:val="20"/>
          <w:szCs w:val="32"/>
        </w:rPr>
        <w:t>Dhakal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Binod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is a Pathologist at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Dhulikhel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 Hospital, Kathmandu University Hospital, Kathmandu University School of Medical Sciences, </w:t>
      </w:r>
      <w:proofErr w:type="spellStart"/>
      <w:r w:rsidRPr="000056D5">
        <w:rPr>
          <w:rFonts w:ascii="Times New Roman" w:hAnsi="Times New Roman" w:cs="Times New Roman"/>
          <w:sz w:val="20"/>
          <w:szCs w:val="32"/>
        </w:rPr>
        <w:t>Dhulikhel</w:t>
      </w:r>
      <w:proofErr w:type="spellEnd"/>
      <w:r w:rsidRPr="000056D5"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proofErr w:type="gramStart"/>
      <w:r w:rsidRPr="000056D5">
        <w:rPr>
          <w:rFonts w:ascii="Times New Roman" w:hAnsi="Times New Roman" w:cs="Times New Roman"/>
          <w:sz w:val="20"/>
          <w:szCs w:val="32"/>
        </w:rPr>
        <w:t>Kavre</w:t>
      </w:r>
      <w:proofErr w:type="spellEnd"/>
      <w:proofErr w:type="gramEnd"/>
      <w:r w:rsidRPr="000056D5">
        <w:rPr>
          <w:rFonts w:ascii="Times New Roman" w:hAnsi="Times New Roman" w:cs="Times New Roman"/>
          <w:sz w:val="20"/>
          <w:szCs w:val="32"/>
        </w:rPr>
        <w:t>, Nepal</w:t>
      </w:r>
      <w:r>
        <w:rPr>
          <w:rFonts w:ascii="Times New Roman" w:hAnsi="Times New Roman" w:cs="Times New Roman"/>
          <w:sz w:val="20"/>
          <w:szCs w:val="32"/>
        </w:rPr>
        <w:t>.</w:t>
      </w:r>
    </w:p>
    <w:sectPr w:rsidR="000056D5" w:rsidRPr="00005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31T17:49:00Z" w:initials="SS">
    <w:p w:rsidR="001B6FE8" w:rsidRDefault="001B6FE8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1B6FE8" w:rsidRDefault="001B6FE8">
      <w:pPr>
        <w:pStyle w:val="CommentText"/>
      </w:pPr>
    </w:p>
    <w:p w:rsidR="001B6FE8" w:rsidRDefault="001B6FE8" w:rsidP="001B6FE8">
      <w:pPr>
        <w:pStyle w:val="CommentText"/>
        <w:numPr>
          <w:ilvl w:val="0"/>
          <w:numId w:val="1"/>
        </w:numPr>
      </w:pPr>
      <w:hyperlink r:id="rId1" w:history="1">
        <w:r w:rsidRPr="00A736F4">
          <w:rPr>
            <w:rStyle w:val="Hyperlink"/>
          </w:rPr>
          <w:t>http://www.t.kumj.com.np/?page=viewAbstract&amp;id=2884/</w:t>
        </w:r>
      </w:hyperlink>
    </w:p>
    <w:p w:rsidR="001B6FE8" w:rsidRDefault="001B6FE8" w:rsidP="001B6FE8">
      <w:pPr>
        <w:pStyle w:val="CommentText"/>
        <w:numPr>
          <w:ilvl w:val="0"/>
          <w:numId w:val="1"/>
        </w:numPr>
      </w:pPr>
      <w:hyperlink r:id="rId2" w:history="1">
        <w:r w:rsidRPr="00A736F4">
          <w:rPr>
            <w:rStyle w:val="Hyperlink"/>
          </w:rPr>
          <w:t>http://www.kumj.com.np/issue/X/301-304.pdf</w:t>
        </w:r>
      </w:hyperlink>
    </w:p>
    <w:p w:rsidR="001B6FE8" w:rsidRDefault="001B6FE8" w:rsidP="001B6FE8">
      <w:pPr>
        <w:pStyle w:val="CommentText"/>
      </w:pPr>
      <w:bookmarkStart w:id="1" w:name="_GoBack"/>
      <w:bookmarkEnd w:id="1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F20DB"/>
    <w:multiLevelType w:val="hybridMultilevel"/>
    <w:tmpl w:val="39BC6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D5"/>
    <w:rsid w:val="000056D5"/>
    <w:rsid w:val="001B6FE8"/>
    <w:rsid w:val="00662CCB"/>
    <w:rsid w:val="008042BA"/>
    <w:rsid w:val="00C64258"/>
    <w:rsid w:val="00EB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6F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F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F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F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F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F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6F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6F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F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F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F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F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F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6F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umj.com.np/issue/X/301-304.pdf" TargetMode="External"/><Relationship Id="rId1" Type="http://schemas.openxmlformats.org/officeDocument/2006/relationships/hyperlink" Target="http://www.t.kumj.com.np/?page=viewAbstract&amp;id=2884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49AFF-EDC6-4A55-BD6C-67DD134DB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2022-05-31T12:06:00Z</dcterms:created>
  <dcterms:modified xsi:type="dcterms:W3CDTF">2022-05-31T12:19:00Z</dcterms:modified>
</cp:coreProperties>
</file>