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E2718">
      <w:pPr>
        <w:rPr>
          <w:rFonts w:ascii="Times New Roman" w:hAnsi="Times New Roman" w:cs="Times New Roman"/>
          <w:b/>
          <w:sz w:val="32"/>
        </w:rPr>
      </w:pPr>
      <w:bookmarkStart w:id="0" w:name="_GoBack"/>
      <w:r w:rsidRPr="003E2718">
        <w:rPr>
          <w:rFonts w:ascii="Times New Roman" w:hAnsi="Times New Roman" w:cs="Times New Roman"/>
          <w:b/>
          <w:sz w:val="32"/>
        </w:rPr>
        <w:t xml:space="preserve">Raman spectroscopy: </w:t>
      </w:r>
      <w:r w:rsidRPr="003E2718">
        <w:rPr>
          <w:rFonts w:ascii="Times New Roman" w:hAnsi="Times New Roman" w:cs="Times New Roman"/>
          <w:b/>
          <w:i/>
          <w:sz w:val="32"/>
        </w:rPr>
        <w:t>In vivo</w:t>
      </w:r>
      <w:r w:rsidRPr="003E2718">
        <w:rPr>
          <w:rFonts w:ascii="Times New Roman" w:hAnsi="Times New Roman" w:cs="Times New Roman"/>
          <w:b/>
          <w:sz w:val="32"/>
        </w:rPr>
        <w:t xml:space="preserve"> application for bone evaluation in oral surgery. Possible alternative to </w:t>
      </w:r>
      <w:proofErr w:type="spellStart"/>
      <w:r w:rsidRPr="003E2718">
        <w:rPr>
          <w:rFonts w:ascii="Times New Roman" w:hAnsi="Times New Roman" w:cs="Times New Roman"/>
          <w:b/>
          <w:sz w:val="32"/>
        </w:rPr>
        <w:t>histhology</w:t>
      </w:r>
      <w:proofErr w:type="spellEnd"/>
    </w:p>
    <w:p w:rsidR="003E2718" w:rsidRDefault="003E2718">
      <w:pPr>
        <w:rPr>
          <w:rFonts w:ascii="Times New Roman" w:hAnsi="Times New Roman" w:cs="Times New Roman"/>
          <w:sz w:val="24"/>
        </w:rPr>
      </w:pPr>
      <w:proofErr w:type="spellStart"/>
      <w:r w:rsidRPr="003E2718">
        <w:rPr>
          <w:rFonts w:ascii="Times New Roman" w:hAnsi="Times New Roman" w:cs="Times New Roman"/>
          <w:sz w:val="24"/>
        </w:rPr>
        <w:t>Gatin</w:t>
      </w:r>
      <w:proofErr w:type="spellEnd"/>
      <w:r w:rsidRPr="003E2718">
        <w:rPr>
          <w:rFonts w:ascii="Times New Roman" w:hAnsi="Times New Roman" w:cs="Times New Roman"/>
          <w:sz w:val="24"/>
        </w:rPr>
        <w:t xml:space="preserve"> Eduard</w:t>
      </w:r>
    </w:p>
    <w:p w:rsidR="003E2718" w:rsidRPr="003E2718" w:rsidRDefault="003E2718">
      <w:pPr>
        <w:rPr>
          <w:rFonts w:ascii="Times New Roman" w:hAnsi="Times New Roman" w:cs="Times New Roman"/>
        </w:rPr>
      </w:pPr>
      <w:r w:rsidRPr="003E2718">
        <w:rPr>
          <w:rFonts w:ascii="Times New Roman" w:hAnsi="Times New Roman" w:cs="Times New Roman"/>
        </w:rPr>
        <w:t>University of Bucharest, Romania</w:t>
      </w:r>
    </w:p>
    <w:p w:rsidR="003E2718" w:rsidRPr="003E2718" w:rsidRDefault="003E2718" w:rsidP="003E2718">
      <w:pPr>
        <w:jc w:val="center"/>
        <w:rPr>
          <w:rFonts w:ascii="Times New Roman" w:hAnsi="Times New Roman" w:cs="Times New Roman"/>
          <w:b/>
          <w:sz w:val="24"/>
        </w:rPr>
      </w:pPr>
      <w:r w:rsidRPr="003E2718">
        <w:rPr>
          <w:rFonts w:ascii="Times New Roman" w:hAnsi="Times New Roman" w:cs="Times New Roman"/>
          <w:b/>
          <w:sz w:val="24"/>
        </w:rPr>
        <w:t>Abstract</w:t>
      </w:r>
    </w:p>
    <w:p w:rsidR="003E2718" w:rsidRDefault="003E2718" w:rsidP="003E2718">
      <w:pPr>
        <w:jc w:val="both"/>
        <w:rPr>
          <w:rFonts w:ascii="Times New Roman" w:hAnsi="Times New Roman" w:cs="Times New Roman"/>
          <w:sz w:val="20"/>
        </w:rPr>
      </w:pPr>
      <w:r w:rsidRPr="003E2718">
        <w:rPr>
          <w:rFonts w:ascii="Times New Roman" w:hAnsi="Times New Roman" w:cs="Times New Roman"/>
          <w:sz w:val="20"/>
        </w:rPr>
        <w:t>Our days, there is a large number of surgical techniques involving the implantation of various types of bone graft and /or bone substitutes in order to achieve periodontal regeneration. Despite positive observations in animal models and successful outcomes reported for many of the available regenerative techniques and materials in patients, including histologic evidence, robust information on the degree to which reported clinical improvements reflect true periodontal regeneration remains just limited. It is requested a method adapted for a quick evaluation of the bone and precise in the meantime.</w:t>
      </w:r>
      <w:r>
        <w:rPr>
          <w:rFonts w:ascii="Times New Roman" w:hAnsi="Times New Roman" w:cs="Times New Roman"/>
          <w:sz w:val="20"/>
        </w:rPr>
        <w:t xml:space="preserve"> </w:t>
      </w:r>
    </w:p>
    <w:p w:rsidR="003E2718" w:rsidRDefault="003E2718" w:rsidP="003E2718">
      <w:pPr>
        <w:jc w:val="both"/>
        <w:rPr>
          <w:rFonts w:ascii="Times New Roman" w:hAnsi="Times New Roman" w:cs="Times New Roman"/>
          <w:sz w:val="20"/>
        </w:rPr>
      </w:pPr>
      <w:r w:rsidRPr="003E2718">
        <w:rPr>
          <w:rFonts w:ascii="Times New Roman" w:hAnsi="Times New Roman" w:cs="Times New Roman"/>
          <w:sz w:val="20"/>
        </w:rPr>
        <w:t>For the bone tissue, at micro leve</w:t>
      </w:r>
      <w:r>
        <w:rPr>
          <w:rFonts w:ascii="Times New Roman" w:hAnsi="Times New Roman" w:cs="Times New Roman"/>
          <w:sz w:val="20"/>
        </w:rPr>
        <w:t xml:space="preserve">l </w:t>
      </w:r>
      <w:proofErr w:type="spellStart"/>
      <w:r>
        <w:rPr>
          <w:rFonts w:ascii="Times New Roman" w:hAnsi="Times New Roman" w:cs="Times New Roman"/>
          <w:sz w:val="20"/>
        </w:rPr>
        <w:t>Octa</w:t>
      </w:r>
      <w:proofErr w:type="spellEnd"/>
      <w:r>
        <w:rPr>
          <w:rFonts w:ascii="Times New Roman" w:hAnsi="Times New Roman" w:cs="Times New Roman"/>
          <w:sz w:val="20"/>
        </w:rPr>
        <w:t xml:space="preserve"> Calcium Phosphate (OCP) (</w:t>
      </w:r>
      <w:proofErr w:type="gramStart"/>
      <w:r>
        <w:rPr>
          <w:rFonts w:ascii="Times New Roman" w:hAnsi="Times New Roman" w:cs="Times New Roman"/>
          <w:sz w:val="20"/>
        </w:rPr>
        <w:t>Ca</w:t>
      </w:r>
      <w:r w:rsidRPr="003E2718">
        <w:rPr>
          <w:rFonts w:ascii="Times New Roman" w:hAnsi="Times New Roman" w:cs="Times New Roman"/>
          <w:sz w:val="20"/>
          <w:vertAlign w:val="subscript"/>
        </w:rPr>
        <w:t>8</w:t>
      </w:r>
      <w:r w:rsidRPr="003E2718">
        <w:rPr>
          <w:rFonts w:ascii="Times New Roman" w:hAnsi="Times New Roman" w:cs="Times New Roman"/>
          <w:sz w:val="20"/>
        </w:rPr>
        <w:t>(</w:t>
      </w:r>
      <w:proofErr w:type="gramEnd"/>
      <w:r w:rsidRPr="003E2718">
        <w:rPr>
          <w:rFonts w:ascii="Times New Roman" w:hAnsi="Times New Roman" w:cs="Times New Roman"/>
          <w:sz w:val="20"/>
        </w:rPr>
        <w:t>HPO</w:t>
      </w:r>
      <w:r w:rsidRPr="003E2718">
        <w:rPr>
          <w:rFonts w:ascii="Times New Roman" w:hAnsi="Times New Roman" w:cs="Times New Roman"/>
          <w:sz w:val="20"/>
          <w:vertAlign w:val="subscript"/>
        </w:rPr>
        <w:t>4</w:t>
      </w:r>
      <w:r w:rsidRPr="003E2718">
        <w:rPr>
          <w:rFonts w:ascii="Times New Roman" w:hAnsi="Times New Roman" w:cs="Times New Roman"/>
          <w:sz w:val="20"/>
        </w:rPr>
        <w:t>)2(PO</w:t>
      </w:r>
      <w:r w:rsidRPr="003E2718">
        <w:rPr>
          <w:rFonts w:ascii="Times New Roman" w:hAnsi="Times New Roman" w:cs="Times New Roman"/>
          <w:sz w:val="20"/>
          <w:vertAlign w:val="subscript"/>
        </w:rPr>
        <w:t>4</w:t>
      </w:r>
      <w:r w:rsidRPr="003E2718">
        <w:rPr>
          <w:rFonts w:ascii="Times New Roman" w:hAnsi="Times New Roman" w:cs="Times New Roman"/>
          <w:sz w:val="20"/>
        </w:rPr>
        <w:t>)4•5H</w:t>
      </w:r>
      <w:r w:rsidRPr="003E2718">
        <w:rPr>
          <w:rFonts w:ascii="Times New Roman" w:hAnsi="Times New Roman" w:cs="Times New Roman"/>
          <w:sz w:val="20"/>
          <w:vertAlign w:val="subscript"/>
        </w:rPr>
        <w:t>2</w:t>
      </w:r>
      <w:r>
        <w:rPr>
          <w:rFonts w:ascii="Times New Roman" w:hAnsi="Times New Roman" w:cs="Times New Roman"/>
          <w:sz w:val="20"/>
        </w:rPr>
        <w:t>O</w:t>
      </w:r>
      <w:r w:rsidRPr="003E2718">
        <w:rPr>
          <w:rFonts w:ascii="Times New Roman" w:hAnsi="Times New Roman" w:cs="Times New Roman"/>
          <w:sz w:val="20"/>
        </w:rPr>
        <w:t xml:space="preserve">) is considered very important because it is regarded as an </w:t>
      </w:r>
      <w:r w:rsidRPr="003E2718">
        <w:rPr>
          <w:rFonts w:ascii="Times New Roman" w:hAnsi="Times New Roman" w:cs="Times New Roman"/>
          <w:i/>
          <w:sz w:val="20"/>
        </w:rPr>
        <w:t>in vivo</w:t>
      </w:r>
      <w:r w:rsidRPr="003E2718">
        <w:rPr>
          <w:rFonts w:ascii="Times New Roman" w:hAnsi="Times New Roman" w:cs="Times New Roman"/>
          <w:sz w:val="20"/>
        </w:rPr>
        <w:t xml:space="preserve"> precursor of HA. Trying to find traces for phase transition of OCP to HA, the presence of HA nano rods and plate-like HA particles can be utilized as signs of bone good quality evidenced </w:t>
      </w:r>
      <w:r>
        <w:rPr>
          <w:rFonts w:ascii="Times New Roman" w:hAnsi="Times New Roman" w:cs="Times New Roman"/>
          <w:sz w:val="20"/>
        </w:rPr>
        <w:t>by histology investigation (Figure 1</w:t>
      </w:r>
      <w:r w:rsidRPr="003E2718">
        <w:rPr>
          <w:rFonts w:ascii="Times New Roman" w:hAnsi="Times New Roman" w:cs="Times New Roman"/>
          <w:sz w:val="20"/>
        </w:rPr>
        <w:t>). The normalized peak intensity values are related to each compounds concentration.</w:t>
      </w:r>
    </w:p>
    <w:p w:rsidR="003E2718" w:rsidRDefault="003E2718" w:rsidP="003E271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6C22271" wp14:editId="50B00E5C">
            <wp:extent cx="1554480" cy="1975485"/>
            <wp:effectExtent l="0" t="0" r="762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4480" cy="1975485"/>
                    </a:xfrm>
                    <a:prstGeom prst="rect">
                      <a:avLst/>
                    </a:prstGeom>
                    <a:noFill/>
                  </pic:spPr>
                </pic:pic>
              </a:graphicData>
            </a:graphic>
          </wp:inline>
        </w:drawing>
      </w:r>
    </w:p>
    <w:p w:rsidR="003E2718" w:rsidRPr="003E2718" w:rsidRDefault="003E2718" w:rsidP="003E2718">
      <w:pPr>
        <w:jc w:val="center"/>
        <w:rPr>
          <w:rFonts w:ascii="Times New Roman" w:hAnsi="Times New Roman" w:cs="Times New Roman"/>
          <w:i/>
          <w:sz w:val="18"/>
        </w:rPr>
      </w:pPr>
      <w:proofErr w:type="gramStart"/>
      <w:r w:rsidRPr="003E2718">
        <w:rPr>
          <w:rFonts w:ascii="Times New Roman" w:hAnsi="Times New Roman" w:cs="Times New Roman"/>
          <w:b/>
          <w:i/>
          <w:sz w:val="18"/>
        </w:rPr>
        <w:t>Figure 1.</w:t>
      </w:r>
      <w:proofErr w:type="gramEnd"/>
      <w:r w:rsidRPr="003E2718">
        <w:rPr>
          <w:rFonts w:ascii="Times New Roman" w:hAnsi="Times New Roman" w:cs="Times New Roman"/>
          <w:i/>
          <w:sz w:val="18"/>
        </w:rPr>
        <w:t xml:space="preserve"> </w:t>
      </w:r>
      <w:proofErr w:type="gramStart"/>
      <w:r w:rsidRPr="003E2718">
        <w:rPr>
          <w:rFonts w:ascii="Times New Roman" w:hAnsi="Times New Roman" w:cs="Times New Roman"/>
          <w:i/>
          <w:sz w:val="18"/>
        </w:rPr>
        <w:t>Histological results.</w:t>
      </w:r>
      <w:proofErr w:type="gramEnd"/>
    </w:p>
    <w:p w:rsidR="003E2718" w:rsidRDefault="003E2718" w:rsidP="003E2718">
      <w:pPr>
        <w:jc w:val="both"/>
        <w:rPr>
          <w:rFonts w:ascii="Times New Roman" w:hAnsi="Times New Roman" w:cs="Times New Roman"/>
          <w:sz w:val="20"/>
        </w:rPr>
      </w:pPr>
      <w:r w:rsidRPr="003E2718">
        <w:rPr>
          <w:rFonts w:ascii="Times New Roman" w:hAnsi="Times New Roman" w:cs="Times New Roman"/>
          <w:sz w:val="20"/>
        </w:rPr>
        <w:t xml:space="preserve">A group of five patients was involved to our study. Investigation was performed by RAMAN technique, first </w:t>
      </w:r>
      <w:r w:rsidRPr="003E2718">
        <w:rPr>
          <w:rFonts w:ascii="Times New Roman" w:hAnsi="Times New Roman" w:cs="Times New Roman"/>
          <w:i/>
          <w:sz w:val="20"/>
        </w:rPr>
        <w:t>in vivo</w:t>
      </w:r>
      <w:r w:rsidRPr="003E2718">
        <w:rPr>
          <w:rFonts w:ascii="Times New Roman" w:hAnsi="Times New Roman" w:cs="Times New Roman"/>
          <w:sz w:val="20"/>
        </w:rPr>
        <w:t xml:space="preserve"> and then </w:t>
      </w:r>
      <w:r w:rsidRPr="003E2718">
        <w:rPr>
          <w:rFonts w:ascii="Times New Roman" w:hAnsi="Times New Roman" w:cs="Times New Roman"/>
          <w:i/>
          <w:sz w:val="20"/>
        </w:rPr>
        <w:t>in vitro</w:t>
      </w:r>
      <w:r w:rsidRPr="003E2718">
        <w:rPr>
          <w:rFonts w:ascii="Times New Roman" w:hAnsi="Times New Roman" w:cs="Times New Roman"/>
          <w:sz w:val="20"/>
        </w:rPr>
        <w:t xml:space="preserve"> for the harvested bone samples.</w:t>
      </w:r>
    </w:p>
    <w:p w:rsidR="003E2718" w:rsidRDefault="003E2718" w:rsidP="003E2718">
      <w:pPr>
        <w:jc w:val="both"/>
        <w:rPr>
          <w:rFonts w:ascii="Times New Roman" w:hAnsi="Times New Roman" w:cs="Times New Roman"/>
          <w:sz w:val="20"/>
        </w:rPr>
      </w:pPr>
      <w:r w:rsidRPr="003E2718">
        <w:rPr>
          <w:rFonts w:ascii="Times New Roman" w:hAnsi="Times New Roman" w:cs="Times New Roman"/>
          <w:sz w:val="20"/>
        </w:rPr>
        <w:t>There were evaluated</w:t>
      </w:r>
      <w:r>
        <w:rPr>
          <w:rFonts w:ascii="Times New Roman" w:hAnsi="Times New Roman" w:cs="Times New Roman"/>
          <w:sz w:val="20"/>
        </w:rPr>
        <w:t>/</w:t>
      </w:r>
      <w:r w:rsidRPr="003E2718">
        <w:rPr>
          <w:rFonts w:ascii="Times New Roman" w:hAnsi="Times New Roman" w:cs="Times New Roman"/>
          <w:sz w:val="20"/>
        </w:rPr>
        <w:t xml:space="preserve">compared the following peaks, for </w:t>
      </w:r>
      <w:r w:rsidRPr="003E2718">
        <w:rPr>
          <w:rFonts w:ascii="Times New Roman" w:hAnsi="Times New Roman" w:cs="Times New Roman"/>
          <w:i/>
          <w:sz w:val="20"/>
        </w:rPr>
        <w:t>in vivo</w:t>
      </w:r>
      <w:r w:rsidRPr="003E2718">
        <w:rPr>
          <w:rFonts w:ascii="Times New Roman" w:hAnsi="Times New Roman" w:cs="Times New Roman"/>
          <w:sz w:val="20"/>
        </w:rPr>
        <w:t xml:space="preserve"> and then </w:t>
      </w:r>
      <w:r w:rsidRPr="003E2718">
        <w:rPr>
          <w:rFonts w:ascii="Times New Roman" w:hAnsi="Times New Roman" w:cs="Times New Roman"/>
          <w:i/>
          <w:sz w:val="20"/>
        </w:rPr>
        <w:t>in vitro</w:t>
      </w:r>
      <w:r w:rsidRPr="003E2718">
        <w:rPr>
          <w:rFonts w:ascii="Times New Roman" w:hAnsi="Times New Roman" w:cs="Times New Roman"/>
          <w:sz w:val="20"/>
        </w:rPr>
        <w:t xml:space="preserve"> </w:t>
      </w:r>
      <w:r>
        <w:rPr>
          <w:rFonts w:ascii="Times New Roman" w:hAnsi="Times New Roman" w:cs="Times New Roman"/>
          <w:sz w:val="20"/>
        </w:rPr>
        <w:t>for the harvested bone samples [</w:t>
      </w:r>
      <w:r w:rsidRPr="003E2718">
        <w:rPr>
          <w:rFonts w:ascii="Times New Roman" w:hAnsi="Times New Roman" w:cs="Times New Roman"/>
          <w:sz w:val="20"/>
        </w:rPr>
        <w:t>Fig</w:t>
      </w:r>
      <w:r>
        <w:rPr>
          <w:rFonts w:ascii="Times New Roman" w:hAnsi="Times New Roman" w:cs="Times New Roman"/>
          <w:sz w:val="20"/>
        </w:rPr>
        <w:t>ure 2 (</w:t>
      </w:r>
      <w:r w:rsidRPr="003E2718">
        <w:rPr>
          <w:rFonts w:ascii="Times New Roman" w:hAnsi="Times New Roman" w:cs="Times New Roman"/>
          <w:sz w:val="20"/>
        </w:rPr>
        <w:t>a)</w:t>
      </w:r>
      <w:proofErr w:type="gramStart"/>
      <w:r>
        <w:rPr>
          <w:rFonts w:ascii="Times New Roman" w:hAnsi="Times New Roman" w:cs="Times New Roman"/>
          <w:sz w:val="20"/>
        </w:rPr>
        <w:t>,(</w:t>
      </w:r>
      <w:proofErr w:type="gramEnd"/>
      <w:r>
        <w:rPr>
          <w:rFonts w:ascii="Times New Roman" w:hAnsi="Times New Roman" w:cs="Times New Roman"/>
          <w:sz w:val="20"/>
        </w:rPr>
        <w:t>b)]</w:t>
      </w:r>
      <w:r w:rsidRPr="003E2718">
        <w:rPr>
          <w:rFonts w:ascii="Times New Roman" w:hAnsi="Times New Roman" w:cs="Times New Roman"/>
          <w:sz w:val="20"/>
        </w:rPr>
        <w:t>:</w:t>
      </w:r>
    </w:p>
    <w:p w:rsidR="003E2718" w:rsidRPr="003E2718" w:rsidRDefault="003E2718" w:rsidP="003E2718">
      <w:pPr>
        <w:pStyle w:val="ListParagraph"/>
        <w:numPr>
          <w:ilvl w:val="0"/>
          <w:numId w:val="1"/>
        </w:numPr>
        <w:jc w:val="both"/>
        <w:rPr>
          <w:rFonts w:ascii="Times New Roman" w:hAnsi="Times New Roman" w:cs="Times New Roman"/>
          <w:sz w:val="20"/>
        </w:rPr>
      </w:pPr>
      <w:r w:rsidRPr="003E2718">
        <w:rPr>
          <w:rFonts w:ascii="Times New Roman" w:hAnsi="Times New Roman" w:cs="Times New Roman"/>
          <w:sz w:val="20"/>
        </w:rPr>
        <w:t>430–</w:t>
      </w:r>
      <w:r w:rsidRPr="003E2718">
        <w:rPr>
          <w:rFonts w:ascii="Times New Roman" w:hAnsi="Times New Roman" w:cs="Times New Roman"/>
          <w:sz w:val="20"/>
        </w:rPr>
        <w:t>450 cm</w:t>
      </w:r>
      <w:r w:rsidRPr="003E2718">
        <w:rPr>
          <w:rFonts w:ascii="Times New Roman" w:hAnsi="Times New Roman" w:cs="Times New Roman"/>
          <w:sz w:val="20"/>
          <w:vertAlign w:val="superscript"/>
        </w:rPr>
        <w:t xml:space="preserve">-1 </w:t>
      </w:r>
      <w:r w:rsidRPr="003E2718">
        <w:rPr>
          <w:rFonts w:ascii="Times New Roman" w:hAnsi="Times New Roman" w:cs="Times New Roman"/>
          <w:sz w:val="20"/>
        </w:rPr>
        <w:t>(ν2, PO</w:t>
      </w:r>
      <w:r w:rsidRPr="003E2718">
        <w:rPr>
          <w:rFonts w:ascii="Times New Roman" w:hAnsi="Times New Roman" w:cs="Times New Roman"/>
          <w:sz w:val="20"/>
          <w:vertAlign w:val="subscript"/>
        </w:rPr>
        <w:t>4</w:t>
      </w:r>
      <w:r w:rsidRPr="003E2718">
        <w:rPr>
          <w:rFonts w:ascii="Times New Roman" w:hAnsi="Times New Roman" w:cs="Times New Roman"/>
          <w:sz w:val="20"/>
          <w:vertAlign w:val="superscript"/>
        </w:rPr>
        <w:t>3-</w:t>
      </w:r>
      <w:r w:rsidRPr="003E2718">
        <w:rPr>
          <w:rFonts w:ascii="Times New Roman" w:hAnsi="Times New Roman" w:cs="Times New Roman"/>
          <w:sz w:val="20"/>
        </w:rPr>
        <w:t>)</w:t>
      </w:r>
    </w:p>
    <w:p w:rsidR="003E2718" w:rsidRPr="003E2718" w:rsidRDefault="003E2718" w:rsidP="003E2718">
      <w:pPr>
        <w:pStyle w:val="ListParagraph"/>
        <w:numPr>
          <w:ilvl w:val="0"/>
          <w:numId w:val="1"/>
        </w:numPr>
        <w:jc w:val="both"/>
        <w:rPr>
          <w:rFonts w:ascii="Times New Roman" w:hAnsi="Times New Roman" w:cs="Times New Roman"/>
          <w:sz w:val="20"/>
        </w:rPr>
      </w:pPr>
      <w:r w:rsidRPr="003E2718">
        <w:rPr>
          <w:rFonts w:ascii="Times New Roman" w:hAnsi="Times New Roman" w:cs="Times New Roman"/>
          <w:sz w:val="20"/>
        </w:rPr>
        <w:t>955–</w:t>
      </w:r>
      <w:r w:rsidRPr="003E2718">
        <w:rPr>
          <w:rFonts w:ascii="Times New Roman" w:hAnsi="Times New Roman" w:cs="Times New Roman"/>
          <w:sz w:val="20"/>
        </w:rPr>
        <w:t>960 cm</w:t>
      </w:r>
      <w:r w:rsidRPr="003E2718">
        <w:rPr>
          <w:rFonts w:ascii="Times New Roman" w:hAnsi="Times New Roman" w:cs="Times New Roman"/>
          <w:sz w:val="20"/>
          <w:vertAlign w:val="superscript"/>
        </w:rPr>
        <w:t xml:space="preserve">-1 </w:t>
      </w:r>
      <w:r w:rsidRPr="003E2718">
        <w:rPr>
          <w:rFonts w:ascii="Times New Roman" w:hAnsi="Times New Roman" w:cs="Times New Roman"/>
          <w:sz w:val="20"/>
        </w:rPr>
        <w:t>(HPO</w:t>
      </w:r>
      <w:r w:rsidRPr="003E2718">
        <w:rPr>
          <w:rFonts w:ascii="Times New Roman" w:hAnsi="Times New Roman" w:cs="Times New Roman"/>
          <w:sz w:val="20"/>
          <w:vertAlign w:val="subscript"/>
        </w:rPr>
        <w:t>4</w:t>
      </w:r>
      <w:r w:rsidRPr="003E2718">
        <w:rPr>
          <w:rFonts w:ascii="Times New Roman" w:hAnsi="Times New Roman" w:cs="Times New Roman"/>
          <w:sz w:val="20"/>
          <w:vertAlign w:val="superscript"/>
        </w:rPr>
        <w:t>2-</w:t>
      </w:r>
      <w:r w:rsidRPr="003E2718">
        <w:rPr>
          <w:rFonts w:ascii="Times New Roman" w:hAnsi="Times New Roman" w:cs="Times New Roman"/>
          <w:sz w:val="20"/>
        </w:rPr>
        <w:t>, immature bone)</w:t>
      </w:r>
    </w:p>
    <w:p w:rsidR="003E2718" w:rsidRPr="003E2718" w:rsidRDefault="003E2718" w:rsidP="003E2718">
      <w:pPr>
        <w:pStyle w:val="ListParagraph"/>
        <w:numPr>
          <w:ilvl w:val="0"/>
          <w:numId w:val="1"/>
        </w:numPr>
        <w:jc w:val="both"/>
        <w:rPr>
          <w:rFonts w:ascii="Times New Roman" w:hAnsi="Times New Roman" w:cs="Times New Roman"/>
          <w:sz w:val="20"/>
        </w:rPr>
      </w:pPr>
      <w:r w:rsidRPr="003E2718">
        <w:rPr>
          <w:rFonts w:ascii="Times New Roman" w:hAnsi="Times New Roman" w:cs="Times New Roman"/>
          <w:sz w:val="20"/>
        </w:rPr>
        <w:t>960–</w:t>
      </w:r>
      <w:r w:rsidRPr="003E2718">
        <w:rPr>
          <w:rFonts w:ascii="Times New Roman" w:hAnsi="Times New Roman" w:cs="Times New Roman"/>
          <w:sz w:val="20"/>
        </w:rPr>
        <w:t>965 cm</w:t>
      </w:r>
      <w:r w:rsidRPr="003E2718">
        <w:rPr>
          <w:rFonts w:ascii="Times New Roman" w:hAnsi="Times New Roman" w:cs="Times New Roman"/>
          <w:sz w:val="20"/>
          <w:vertAlign w:val="superscript"/>
        </w:rPr>
        <w:t xml:space="preserve">-1 </w:t>
      </w:r>
      <w:r w:rsidRPr="003E2718">
        <w:rPr>
          <w:rFonts w:ascii="Times New Roman" w:hAnsi="Times New Roman" w:cs="Times New Roman"/>
          <w:sz w:val="20"/>
        </w:rPr>
        <w:t>(mineral bone, mature bone)</w:t>
      </w:r>
    </w:p>
    <w:p w:rsidR="003E2718" w:rsidRDefault="003E2718" w:rsidP="003E2718">
      <w:pPr>
        <w:pStyle w:val="ListParagraph"/>
        <w:numPr>
          <w:ilvl w:val="0"/>
          <w:numId w:val="1"/>
        </w:numPr>
        <w:jc w:val="both"/>
        <w:rPr>
          <w:rFonts w:ascii="Times New Roman" w:hAnsi="Times New Roman" w:cs="Times New Roman"/>
          <w:sz w:val="20"/>
        </w:rPr>
      </w:pPr>
      <w:r w:rsidRPr="003E2718">
        <w:rPr>
          <w:rFonts w:ascii="Times New Roman" w:hAnsi="Times New Roman" w:cs="Times New Roman"/>
          <w:sz w:val="20"/>
        </w:rPr>
        <w:t>1023 cm</w:t>
      </w:r>
      <w:r w:rsidRPr="003E2718">
        <w:rPr>
          <w:rFonts w:ascii="Times New Roman" w:hAnsi="Times New Roman" w:cs="Times New Roman"/>
          <w:sz w:val="20"/>
          <w:vertAlign w:val="superscript"/>
        </w:rPr>
        <w:t>-1</w:t>
      </w:r>
      <w:r w:rsidRPr="003E2718">
        <w:rPr>
          <w:rFonts w:ascii="Times New Roman" w:hAnsi="Times New Roman" w:cs="Times New Roman"/>
          <w:sz w:val="20"/>
          <w:vertAlign w:val="superscript"/>
        </w:rPr>
        <w:t xml:space="preserve"> </w:t>
      </w:r>
      <w:r w:rsidRPr="003E2718">
        <w:rPr>
          <w:rFonts w:ascii="Times New Roman" w:hAnsi="Times New Roman" w:cs="Times New Roman"/>
          <w:sz w:val="20"/>
        </w:rPr>
        <w:t>(P</w:t>
      </w:r>
      <w:r w:rsidRPr="003E2718">
        <w:rPr>
          <w:rFonts w:ascii="Times New Roman" w:hAnsi="Times New Roman" w:cs="Times New Roman"/>
          <w:sz w:val="20"/>
          <w:vertAlign w:val="subscript"/>
        </w:rPr>
        <w:t>2</w:t>
      </w:r>
      <w:r w:rsidRPr="003E2718">
        <w:rPr>
          <w:rFonts w:ascii="Times New Roman" w:hAnsi="Times New Roman" w:cs="Times New Roman"/>
          <w:sz w:val="20"/>
        </w:rPr>
        <w:t>O</w:t>
      </w:r>
      <w:r w:rsidRPr="003E2718">
        <w:rPr>
          <w:rFonts w:ascii="Times New Roman" w:hAnsi="Times New Roman" w:cs="Times New Roman"/>
          <w:sz w:val="20"/>
          <w:vertAlign w:val="subscript"/>
        </w:rPr>
        <w:t>7</w:t>
      </w:r>
      <w:r w:rsidRPr="003E2718">
        <w:rPr>
          <w:rFonts w:ascii="Times New Roman" w:hAnsi="Times New Roman" w:cs="Times New Roman"/>
          <w:sz w:val="20"/>
          <w:vertAlign w:val="superscript"/>
        </w:rPr>
        <w:t>4-</w:t>
      </w:r>
      <w:r w:rsidRPr="003E2718">
        <w:rPr>
          <w:rFonts w:ascii="Times New Roman" w:hAnsi="Times New Roman" w:cs="Times New Roman"/>
          <w:sz w:val="20"/>
        </w:rPr>
        <w:t xml:space="preserve">; </w:t>
      </w:r>
      <w:proofErr w:type="spellStart"/>
      <w:r w:rsidRPr="003E2718">
        <w:rPr>
          <w:rFonts w:ascii="Times New Roman" w:hAnsi="Times New Roman" w:cs="Times New Roman"/>
          <w:sz w:val="20"/>
        </w:rPr>
        <w:t>PPi</w:t>
      </w:r>
      <w:proofErr w:type="spellEnd"/>
      <w:r w:rsidRPr="003E2718">
        <w:rPr>
          <w:rFonts w:ascii="Times New Roman" w:hAnsi="Times New Roman" w:cs="Times New Roman"/>
          <w:sz w:val="20"/>
        </w:rPr>
        <w:t>, inorganic pyrophosphate)</w:t>
      </w:r>
      <w:r>
        <w:rPr>
          <w:rFonts w:ascii="Times New Roman" w:hAnsi="Times New Roman" w:cs="Times New Roman"/>
          <w:sz w:val="20"/>
        </w:rPr>
        <w:t xml:space="preserve"> </w:t>
      </w:r>
    </w:p>
    <w:p w:rsidR="003E2718" w:rsidRDefault="003E2718" w:rsidP="003E2718">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0D23B9F0" wp14:editId="2EA0EFD9">
            <wp:extent cx="4517390" cy="17494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7390" cy="1749425"/>
                    </a:xfrm>
                    <a:prstGeom prst="rect">
                      <a:avLst/>
                    </a:prstGeom>
                    <a:noFill/>
                  </pic:spPr>
                </pic:pic>
              </a:graphicData>
            </a:graphic>
          </wp:inline>
        </w:drawing>
      </w:r>
    </w:p>
    <w:p w:rsidR="003E2718" w:rsidRPr="003E2718" w:rsidRDefault="003E2718" w:rsidP="003E2718">
      <w:pPr>
        <w:jc w:val="center"/>
        <w:rPr>
          <w:rFonts w:ascii="Times New Roman" w:hAnsi="Times New Roman" w:cs="Times New Roman"/>
          <w:i/>
          <w:sz w:val="18"/>
        </w:rPr>
      </w:pPr>
      <w:proofErr w:type="gramStart"/>
      <w:r>
        <w:rPr>
          <w:rFonts w:ascii="Times New Roman" w:hAnsi="Times New Roman" w:cs="Times New Roman"/>
          <w:b/>
          <w:i/>
          <w:sz w:val="18"/>
        </w:rPr>
        <w:t>Figure 2</w:t>
      </w:r>
      <w:r w:rsidRPr="003E2718">
        <w:rPr>
          <w:rFonts w:ascii="Times New Roman" w:hAnsi="Times New Roman" w:cs="Times New Roman"/>
          <w:b/>
          <w:i/>
          <w:sz w:val="18"/>
        </w:rPr>
        <w:t>.</w:t>
      </w:r>
      <w:proofErr w:type="gramEnd"/>
      <w:r w:rsidRPr="003E2718">
        <w:rPr>
          <w:rFonts w:ascii="Times New Roman" w:hAnsi="Times New Roman" w:cs="Times New Roman"/>
          <w:i/>
          <w:sz w:val="18"/>
        </w:rPr>
        <w:t xml:space="preserve"> </w:t>
      </w:r>
      <w:proofErr w:type="gramStart"/>
      <w:r w:rsidRPr="003E2718">
        <w:rPr>
          <w:rFonts w:ascii="Times New Roman" w:hAnsi="Times New Roman" w:cs="Times New Roman"/>
          <w:i/>
          <w:sz w:val="18"/>
        </w:rPr>
        <w:t>Raman spectra for bone samples (a) before treatment, (b) after treatment.</w:t>
      </w:r>
      <w:proofErr w:type="gramEnd"/>
    </w:p>
    <w:p w:rsidR="003E2718" w:rsidRDefault="003E2718" w:rsidP="003E2718">
      <w:pPr>
        <w:jc w:val="both"/>
        <w:rPr>
          <w:rFonts w:ascii="Times New Roman" w:hAnsi="Times New Roman" w:cs="Times New Roman"/>
          <w:sz w:val="20"/>
        </w:rPr>
      </w:pPr>
      <w:r w:rsidRPr="003E2718">
        <w:rPr>
          <w:rFonts w:ascii="Times New Roman" w:hAnsi="Times New Roman" w:cs="Times New Roman"/>
          <w:sz w:val="20"/>
        </w:rPr>
        <w:t>Raman method adapted for</w:t>
      </w:r>
      <w:r>
        <w:rPr>
          <w:rFonts w:ascii="Times New Roman" w:hAnsi="Times New Roman" w:cs="Times New Roman"/>
          <w:sz w:val="20"/>
        </w:rPr>
        <w:t xml:space="preserve"> “</w:t>
      </w:r>
      <w:r w:rsidRPr="003E2718">
        <w:rPr>
          <w:rFonts w:ascii="Times New Roman" w:hAnsi="Times New Roman" w:cs="Times New Roman"/>
          <w:i/>
          <w:sz w:val="20"/>
        </w:rPr>
        <w:t>in vivo</w:t>
      </w:r>
      <w:r w:rsidRPr="003E2718">
        <w:rPr>
          <w:rFonts w:ascii="Times New Roman" w:hAnsi="Times New Roman" w:cs="Times New Roman"/>
          <w:sz w:val="20"/>
        </w:rPr>
        <w:t>” bone quality evaluation, is much less invasive then the well-known CT (</w:t>
      </w:r>
      <w:proofErr w:type="spellStart"/>
      <w:r w:rsidRPr="003E2718">
        <w:rPr>
          <w:rFonts w:ascii="Times New Roman" w:hAnsi="Times New Roman" w:cs="Times New Roman"/>
          <w:sz w:val="20"/>
        </w:rPr>
        <w:t>Computer</w:t>
      </w:r>
      <w:proofErr w:type="spellEnd"/>
      <w:r w:rsidRPr="003E2718">
        <w:rPr>
          <w:rFonts w:ascii="Times New Roman" w:hAnsi="Times New Roman" w:cs="Times New Roman"/>
          <w:sz w:val="20"/>
        </w:rPr>
        <w:t xml:space="preserve"> Tomography) or CBCT (Con Beam Computer Tomography) already used and more accurate. For this purpose, the Raman probe was modified with a “special cap” in order to assure regular sterilization for </w:t>
      </w:r>
      <w:r w:rsidRPr="003E2718">
        <w:rPr>
          <w:rFonts w:ascii="Times New Roman" w:hAnsi="Times New Roman" w:cs="Times New Roman"/>
          <w:i/>
          <w:sz w:val="20"/>
        </w:rPr>
        <w:t>in vivo</w:t>
      </w:r>
      <w:r w:rsidRPr="003E2718">
        <w:rPr>
          <w:rFonts w:ascii="Times New Roman" w:hAnsi="Times New Roman" w:cs="Times New Roman"/>
          <w:sz w:val="20"/>
        </w:rPr>
        <w:t xml:space="preserve"> use.</w:t>
      </w:r>
    </w:p>
    <w:p w:rsidR="003E2718" w:rsidRPr="003E2718" w:rsidRDefault="003E2718" w:rsidP="003E2718">
      <w:pPr>
        <w:rPr>
          <w:rFonts w:ascii="Times New Roman" w:hAnsi="Times New Roman" w:cs="Times New Roman"/>
          <w:b/>
          <w:sz w:val="24"/>
        </w:rPr>
      </w:pPr>
      <w:r w:rsidRPr="003E2718">
        <w:rPr>
          <w:rFonts w:ascii="Times New Roman" w:hAnsi="Times New Roman" w:cs="Times New Roman"/>
          <w:b/>
          <w:sz w:val="24"/>
        </w:rPr>
        <w:t xml:space="preserve">Biography </w:t>
      </w:r>
    </w:p>
    <w:p w:rsidR="003E2718" w:rsidRPr="003E2718" w:rsidRDefault="003E2718" w:rsidP="003E2718">
      <w:pPr>
        <w:jc w:val="both"/>
        <w:rPr>
          <w:rFonts w:ascii="Times New Roman" w:hAnsi="Times New Roman" w:cs="Times New Roman"/>
          <w:sz w:val="20"/>
        </w:rPr>
      </w:pPr>
      <w:r w:rsidRPr="003E2718">
        <w:rPr>
          <w:rFonts w:ascii="Times New Roman" w:hAnsi="Times New Roman" w:cs="Times New Roman"/>
          <w:sz w:val="20"/>
        </w:rPr>
        <w:t xml:space="preserve">Eduard </w:t>
      </w:r>
      <w:proofErr w:type="spellStart"/>
      <w:r w:rsidRPr="003E2718">
        <w:rPr>
          <w:rFonts w:ascii="Times New Roman" w:hAnsi="Times New Roman" w:cs="Times New Roman"/>
          <w:sz w:val="20"/>
        </w:rPr>
        <w:t>Gatin</w:t>
      </w:r>
      <w:proofErr w:type="spellEnd"/>
      <w:r w:rsidRPr="003E2718">
        <w:rPr>
          <w:rFonts w:ascii="Times New Roman" w:hAnsi="Times New Roman" w:cs="Times New Roman"/>
          <w:sz w:val="20"/>
        </w:rPr>
        <w:t>, Physicist Education, research in polymer and materials science, dental materials University of Buchar</w:t>
      </w:r>
      <w:r>
        <w:rPr>
          <w:rFonts w:ascii="Times New Roman" w:hAnsi="Times New Roman" w:cs="Times New Roman"/>
          <w:sz w:val="20"/>
        </w:rPr>
        <w:t>est, Faculty of Physics (1994–present, Assistant/Lecturer) Ph</w:t>
      </w:r>
      <w:r w:rsidRPr="003E2718">
        <w:rPr>
          <w:rFonts w:ascii="Times New Roman" w:hAnsi="Times New Roman" w:cs="Times New Roman"/>
          <w:sz w:val="20"/>
        </w:rPr>
        <w:t xml:space="preserve">D </w:t>
      </w:r>
      <w:r>
        <w:rPr>
          <w:rFonts w:ascii="Times New Roman" w:hAnsi="Times New Roman" w:cs="Times New Roman"/>
          <w:sz w:val="20"/>
        </w:rPr>
        <w:t>Biology &amp; Physiology. From 2010–</w:t>
      </w:r>
      <w:r w:rsidRPr="003E2718">
        <w:rPr>
          <w:rFonts w:ascii="Times New Roman" w:hAnsi="Times New Roman" w:cs="Times New Roman"/>
          <w:sz w:val="20"/>
        </w:rPr>
        <w:t xml:space="preserve">present, </w:t>
      </w:r>
      <w:r>
        <w:rPr>
          <w:rFonts w:ascii="Times New Roman" w:hAnsi="Times New Roman" w:cs="Times New Roman"/>
          <w:sz w:val="20"/>
        </w:rPr>
        <w:t>he is a Lecturer–</w:t>
      </w:r>
      <w:r w:rsidRPr="003E2718">
        <w:rPr>
          <w:rFonts w:ascii="Times New Roman" w:hAnsi="Times New Roman" w:cs="Times New Roman"/>
          <w:sz w:val="20"/>
        </w:rPr>
        <w:t>Biophysics</w:t>
      </w:r>
      <w:r w:rsidRPr="003E2718">
        <w:rPr>
          <w:rFonts w:ascii="Times New Roman" w:hAnsi="Times New Roman" w:cs="Times New Roman"/>
          <w:sz w:val="20"/>
        </w:rPr>
        <w:t xml:space="preserve"> Department University of Medicine “Carol Davila”, Faculty of Medicine. </w:t>
      </w:r>
      <w:r>
        <w:rPr>
          <w:rFonts w:ascii="Times New Roman" w:hAnsi="Times New Roman" w:cs="Times New Roman"/>
          <w:sz w:val="20"/>
        </w:rPr>
        <w:t xml:space="preserve">His </w:t>
      </w:r>
      <w:r w:rsidRPr="003E2718">
        <w:rPr>
          <w:rFonts w:ascii="Times New Roman" w:hAnsi="Times New Roman" w:cs="Times New Roman"/>
          <w:sz w:val="20"/>
        </w:rPr>
        <w:t xml:space="preserve">Area of interest: polymer membranes for blood filtration. </w:t>
      </w:r>
      <w:r>
        <w:rPr>
          <w:rFonts w:ascii="Times New Roman" w:hAnsi="Times New Roman" w:cs="Times New Roman"/>
          <w:sz w:val="20"/>
        </w:rPr>
        <w:t>He</w:t>
      </w:r>
      <w:r w:rsidRPr="003E2718">
        <w:rPr>
          <w:rFonts w:ascii="Times New Roman" w:hAnsi="Times New Roman" w:cs="Times New Roman"/>
          <w:sz w:val="20"/>
        </w:rPr>
        <w:t xml:space="preserve"> continued with</w:t>
      </w:r>
      <w:r>
        <w:rPr>
          <w:rFonts w:ascii="Times New Roman" w:hAnsi="Times New Roman" w:cs="Times New Roman"/>
          <w:sz w:val="20"/>
        </w:rPr>
        <w:t xml:space="preserve"> research in material science-</w:t>
      </w:r>
      <w:r w:rsidRPr="003E2718">
        <w:rPr>
          <w:rFonts w:ascii="Times New Roman" w:hAnsi="Times New Roman" w:cs="Times New Roman"/>
          <w:sz w:val="20"/>
        </w:rPr>
        <w:t xml:space="preserve">polymers, advanced nano materials, ceramics, metal alloys, corrosion, dental materials and tissue regeneration. </w:t>
      </w:r>
      <w:r>
        <w:rPr>
          <w:rFonts w:ascii="Times New Roman" w:hAnsi="Times New Roman" w:cs="Times New Roman"/>
          <w:sz w:val="20"/>
        </w:rPr>
        <w:t xml:space="preserve">His </w:t>
      </w:r>
      <w:r w:rsidRPr="003E2718">
        <w:rPr>
          <w:rFonts w:ascii="Times New Roman" w:hAnsi="Times New Roman" w:cs="Times New Roman"/>
          <w:sz w:val="20"/>
        </w:rPr>
        <w:t>Laboratory Research activity:</w:t>
      </w:r>
      <w:r>
        <w:rPr>
          <w:rFonts w:ascii="Times New Roman" w:hAnsi="Times New Roman" w:cs="Times New Roman"/>
          <w:sz w:val="20"/>
        </w:rPr>
        <w:t xml:space="preserve"> Materials structure, physical/</w:t>
      </w:r>
      <w:r w:rsidRPr="003E2718">
        <w:rPr>
          <w:rFonts w:ascii="Times New Roman" w:hAnsi="Times New Roman" w:cs="Times New Roman"/>
          <w:sz w:val="20"/>
        </w:rPr>
        <w:t xml:space="preserve">chemical properties, dental enamel, bacteria activity, polymer resin composites, dental ceramics, metal alloys and corrosion studies. </w:t>
      </w:r>
      <w:r>
        <w:rPr>
          <w:rFonts w:ascii="Times New Roman" w:hAnsi="Times New Roman" w:cs="Times New Roman"/>
          <w:sz w:val="20"/>
        </w:rPr>
        <w:t xml:space="preserve">His </w:t>
      </w:r>
      <w:r w:rsidRPr="003E2718">
        <w:rPr>
          <w:rFonts w:ascii="Times New Roman" w:hAnsi="Times New Roman" w:cs="Times New Roman"/>
          <w:sz w:val="20"/>
        </w:rPr>
        <w:t xml:space="preserve">Techniques skills: RAMAN spectroscopy (improved by SERS), SEM, EDX. In 2013 </w:t>
      </w:r>
      <w:r>
        <w:rPr>
          <w:rFonts w:ascii="Times New Roman" w:hAnsi="Times New Roman" w:cs="Times New Roman"/>
          <w:sz w:val="20"/>
        </w:rPr>
        <w:t>he</w:t>
      </w:r>
      <w:r w:rsidRPr="003E2718">
        <w:rPr>
          <w:rFonts w:ascii="Times New Roman" w:hAnsi="Times New Roman" w:cs="Times New Roman"/>
          <w:sz w:val="20"/>
        </w:rPr>
        <w:t xml:space="preserve"> </w:t>
      </w:r>
      <w:r w:rsidRPr="003E2718">
        <w:rPr>
          <w:rFonts w:ascii="Times New Roman" w:hAnsi="Times New Roman" w:cs="Times New Roman"/>
          <w:sz w:val="20"/>
        </w:rPr>
        <w:t>succeeded</w:t>
      </w:r>
      <w:r w:rsidRPr="003E2718">
        <w:rPr>
          <w:rFonts w:ascii="Times New Roman" w:hAnsi="Times New Roman" w:cs="Times New Roman"/>
          <w:sz w:val="20"/>
        </w:rPr>
        <w:t xml:space="preserve"> to propose a method for quality evaluation of dental enamel b</w:t>
      </w:r>
      <w:r>
        <w:rPr>
          <w:rFonts w:ascii="Times New Roman" w:hAnsi="Times New Roman" w:cs="Times New Roman"/>
          <w:sz w:val="20"/>
        </w:rPr>
        <w:t>y Raman method, to be applied “</w:t>
      </w:r>
      <w:r w:rsidRPr="003E2718">
        <w:rPr>
          <w:rFonts w:ascii="Times New Roman" w:hAnsi="Times New Roman" w:cs="Times New Roman"/>
          <w:i/>
          <w:sz w:val="20"/>
        </w:rPr>
        <w:t>in vivo</w:t>
      </w:r>
      <w:r w:rsidRPr="003E2718">
        <w:rPr>
          <w:rFonts w:ascii="Times New Roman" w:hAnsi="Times New Roman" w:cs="Times New Roman"/>
          <w:sz w:val="20"/>
        </w:rPr>
        <w:t>”. In 2015, patent registration certificate</w:t>
      </w:r>
      <w:r>
        <w:rPr>
          <w:rFonts w:ascii="Times New Roman" w:hAnsi="Times New Roman" w:cs="Times New Roman"/>
          <w:sz w:val="20"/>
        </w:rPr>
        <w:t xml:space="preserve"> </w:t>
      </w:r>
      <w:r w:rsidRPr="003E2718">
        <w:rPr>
          <w:rFonts w:ascii="Times New Roman" w:hAnsi="Times New Roman" w:cs="Times New Roman"/>
          <w:sz w:val="20"/>
        </w:rPr>
        <w:t>was issued. It was started the study of Introducing RAMAN technique to Periodontology” (</w:t>
      </w:r>
      <w:r w:rsidRPr="003E2718">
        <w:rPr>
          <w:rFonts w:ascii="Times New Roman" w:hAnsi="Times New Roman" w:cs="Times New Roman"/>
          <w:i/>
          <w:sz w:val="20"/>
        </w:rPr>
        <w:t>in vivo</w:t>
      </w:r>
      <w:r w:rsidRPr="003E2718">
        <w:rPr>
          <w:rFonts w:ascii="Times New Roman" w:hAnsi="Times New Roman" w:cs="Times New Roman"/>
          <w:sz w:val="20"/>
        </w:rPr>
        <w:t xml:space="preserve"> application</w:t>
      </w:r>
      <w:r>
        <w:rPr>
          <w:rFonts w:ascii="Times New Roman" w:hAnsi="Times New Roman" w:cs="Times New Roman"/>
          <w:sz w:val="20"/>
        </w:rPr>
        <w:t>)</w:t>
      </w:r>
      <w:r w:rsidRPr="003E2718">
        <w:rPr>
          <w:rFonts w:ascii="Times New Roman" w:hAnsi="Times New Roman" w:cs="Times New Roman"/>
          <w:sz w:val="20"/>
        </w:rPr>
        <w:t>.</w:t>
      </w:r>
      <w:bookmarkEnd w:id="0"/>
    </w:p>
    <w:sectPr w:rsidR="003E2718" w:rsidRPr="003E27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535F9D"/>
    <w:multiLevelType w:val="hybridMultilevel"/>
    <w:tmpl w:val="A4D04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718"/>
    <w:rsid w:val="003E271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2718"/>
    <w:pPr>
      <w:ind w:left="720"/>
      <w:contextualSpacing/>
    </w:pPr>
  </w:style>
  <w:style w:type="paragraph" w:styleId="BalloonText">
    <w:name w:val="Balloon Text"/>
    <w:basedOn w:val="Normal"/>
    <w:link w:val="BalloonTextChar"/>
    <w:uiPriority w:val="99"/>
    <w:semiHidden/>
    <w:unhideWhenUsed/>
    <w:rsid w:val="003E27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7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2718"/>
    <w:pPr>
      <w:ind w:left="720"/>
      <w:contextualSpacing/>
    </w:pPr>
  </w:style>
  <w:style w:type="paragraph" w:styleId="BalloonText">
    <w:name w:val="Balloon Text"/>
    <w:basedOn w:val="Normal"/>
    <w:link w:val="BalloonTextChar"/>
    <w:uiPriority w:val="99"/>
    <w:semiHidden/>
    <w:unhideWhenUsed/>
    <w:rsid w:val="003E27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7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2022-10-18T05:38:00Z</dcterms:created>
  <dcterms:modified xsi:type="dcterms:W3CDTF">2022-10-18T05:53:00Z</dcterms:modified>
</cp:coreProperties>
</file>