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6C36">
      <w:pPr>
        <w:rPr>
          <w:rFonts w:ascii="Times New Roman" w:hAnsi="Times New Roman" w:cs="Times New Roman"/>
          <w:b/>
          <w:sz w:val="32"/>
        </w:rPr>
      </w:pPr>
      <w:bookmarkStart w:id="0" w:name="_GoBack"/>
      <w:r w:rsidRPr="00386C36">
        <w:rPr>
          <w:rFonts w:ascii="Times New Roman" w:hAnsi="Times New Roman" w:cs="Times New Roman"/>
          <w:b/>
          <w:sz w:val="32"/>
        </w:rPr>
        <w:t>New approaches towards the pharmacological treatment of obesity</w:t>
      </w:r>
    </w:p>
    <w:p w:rsidR="00386C36" w:rsidRDefault="00386C36">
      <w:pPr>
        <w:rPr>
          <w:rFonts w:ascii="Times New Roman" w:hAnsi="Times New Roman" w:cs="Times New Roman"/>
          <w:sz w:val="24"/>
        </w:rPr>
      </w:pPr>
      <w:proofErr w:type="spellStart"/>
      <w:r w:rsidRPr="00386C36">
        <w:rPr>
          <w:rFonts w:ascii="Times New Roman" w:hAnsi="Times New Roman" w:cs="Times New Roman"/>
          <w:sz w:val="24"/>
        </w:rPr>
        <w:t>Marilena</w:t>
      </w:r>
      <w:proofErr w:type="spellEnd"/>
      <w:r w:rsidRPr="00386C36">
        <w:rPr>
          <w:rFonts w:ascii="Times New Roman" w:hAnsi="Times New Roman" w:cs="Times New Roman"/>
          <w:sz w:val="24"/>
        </w:rPr>
        <w:t xml:space="preserve"> </w:t>
      </w:r>
      <w:proofErr w:type="spellStart"/>
      <w:r w:rsidRPr="00386C36">
        <w:rPr>
          <w:rFonts w:ascii="Times New Roman" w:hAnsi="Times New Roman" w:cs="Times New Roman"/>
          <w:sz w:val="24"/>
        </w:rPr>
        <w:t>Vlachou</w:t>
      </w:r>
      <w:proofErr w:type="spellEnd"/>
      <w:r>
        <w:rPr>
          <w:rFonts w:ascii="Times New Roman" w:hAnsi="Times New Roman" w:cs="Times New Roman"/>
          <w:sz w:val="24"/>
        </w:rPr>
        <w:t xml:space="preserve">*, </w:t>
      </w:r>
      <w:proofErr w:type="spellStart"/>
      <w:r w:rsidRPr="00386C36">
        <w:rPr>
          <w:rFonts w:ascii="Times New Roman" w:hAnsi="Times New Roman" w:cs="Times New Roman"/>
          <w:sz w:val="24"/>
        </w:rPr>
        <w:t>Chrystalla</w:t>
      </w:r>
      <w:proofErr w:type="spellEnd"/>
      <w:r w:rsidRPr="00386C36">
        <w:rPr>
          <w:rFonts w:ascii="Times New Roman" w:hAnsi="Times New Roman" w:cs="Times New Roman"/>
          <w:sz w:val="24"/>
        </w:rPr>
        <w:t xml:space="preserve"> </w:t>
      </w:r>
      <w:proofErr w:type="spellStart"/>
      <w:r w:rsidRPr="00386C36">
        <w:rPr>
          <w:rFonts w:ascii="Times New Roman" w:hAnsi="Times New Roman" w:cs="Times New Roman"/>
          <w:sz w:val="24"/>
        </w:rPr>
        <w:t>Protopappa</w:t>
      </w:r>
      <w:proofErr w:type="spellEnd"/>
      <w:r>
        <w:rPr>
          <w:rFonts w:ascii="Times New Roman" w:hAnsi="Times New Roman" w:cs="Times New Roman"/>
          <w:sz w:val="24"/>
        </w:rPr>
        <w:t xml:space="preserve"> and </w:t>
      </w:r>
      <w:proofErr w:type="spellStart"/>
      <w:r w:rsidRPr="00386C36">
        <w:rPr>
          <w:rFonts w:ascii="Times New Roman" w:hAnsi="Times New Roman" w:cs="Times New Roman"/>
          <w:sz w:val="24"/>
        </w:rPr>
        <w:t>Angeliki</w:t>
      </w:r>
      <w:proofErr w:type="spellEnd"/>
      <w:r w:rsidR="00371986">
        <w:rPr>
          <w:rFonts w:ascii="Times New Roman" w:hAnsi="Times New Roman" w:cs="Times New Roman"/>
          <w:sz w:val="24"/>
        </w:rPr>
        <w:t xml:space="preserve"> </w:t>
      </w:r>
      <w:proofErr w:type="spellStart"/>
      <w:r w:rsidRPr="00386C36">
        <w:rPr>
          <w:rFonts w:ascii="Times New Roman" w:hAnsi="Times New Roman" w:cs="Times New Roman"/>
          <w:sz w:val="24"/>
        </w:rPr>
        <w:t>Siamidi</w:t>
      </w:r>
      <w:proofErr w:type="spellEnd"/>
    </w:p>
    <w:p w:rsidR="00386C36" w:rsidRPr="00386C36" w:rsidRDefault="00386C36">
      <w:pPr>
        <w:rPr>
          <w:rFonts w:ascii="Times New Roman" w:hAnsi="Times New Roman" w:cs="Times New Roman"/>
        </w:rPr>
      </w:pPr>
      <w:r w:rsidRPr="00386C36">
        <w:rPr>
          <w:rFonts w:ascii="Times New Roman" w:hAnsi="Times New Roman" w:cs="Times New Roman"/>
        </w:rPr>
        <w:t xml:space="preserve">National and </w:t>
      </w:r>
      <w:proofErr w:type="spellStart"/>
      <w:r w:rsidRPr="00386C36">
        <w:rPr>
          <w:rFonts w:ascii="Times New Roman" w:hAnsi="Times New Roman" w:cs="Times New Roman"/>
        </w:rPr>
        <w:t>Kapodistrian</w:t>
      </w:r>
      <w:proofErr w:type="spellEnd"/>
      <w:r w:rsidRPr="00386C36">
        <w:rPr>
          <w:rFonts w:ascii="Times New Roman" w:hAnsi="Times New Roman" w:cs="Times New Roman"/>
        </w:rPr>
        <w:t xml:space="preserve"> University of Athens, Greece</w:t>
      </w:r>
    </w:p>
    <w:p w:rsidR="00386C36" w:rsidRPr="00386C36" w:rsidRDefault="00386C36" w:rsidP="00386C36">
      <w:pPr>
        <w:jc w:val="center"/>
        <w:rPr>
          <w:rFonts w:ascii="Times New Roman" w:hAnsi="Times New Roman" w:cs="Times New Roman"/>
          <w:b/>
          <w:sz w:val="24"/>
        </w:rPr>
      </w:pPr>
      <w:r w:rsidRPr="00386C36">
        <w:rPr>
          <w:rFonts w:ascii="Times New Roman" w:hAnsi="Times New Roman" w:cs="Times New Roman"/>
          <w:b/>
          <w:sz w:val="24"/>
        </w:rPr>
        <w:t>Abstract</w:t>
      </w:r>
    </w:p>
    <w:p w:rsidR="00386C36" w:rsidRPr="00386C36" w:rsidRDefault="00386C36" w:rsidP="00386C36">
      <w:pPr>
        <w:jc w:val="both"/>
        <w:rPr>
          <w:rFonts w:ascii="Times New Roman" w:hAnsi="Times New Roman" w:cs="Times New Roman"/>
          <w:sz w:val="20"/>
        </w:rPr>
      </w:pPr>
      <w:r w:rsidRPr="00386C36">
        <w:rPr>
          <w:rFonts w:ascii="Times New Roman" w:hAnsi="Times New Roman" w:cs="Times New Roman"/>
          <w:sz w:val="20"/>
        </w:rPr>
        <w:t xml:space="preserve">Obesity is a condition defined as excess body fat due to positive energy balance. It is often associated with metabolic diseases, such as hypertension, type 2 diabetes, and coronary heart disease. Obesity also increases the risk of several malignancies in colon, breast, pancreas, and endometrium. Treatments of obesity include lifestyle interventions (dietary interventions with </w:t>
      </w:r>
      <w:proofErr w:type="spellStart"/>
      <w:r w:rsidRPr="00386C36">
        <w:rPr>
          <w:rFonts w:ascii="Times New Roman" w:hAnsi="Times New Roman" w:cs="Times New Roman"/>
          <w:sz w:val="20"/>
        </w:rPr>
        <w:t>hypocaloric</w:t>
      </w:r>
      <w:proofErr w:type="spellEnd"/>
      <w:r w:rsidRPr="00386C36">
        <w:rPr>
          <w:rFonts w:ascii="Times New Roman" w:hAnsi="Times New Roman" w:cs="Times New Roman"/>
          <w:sz w:val="20"/>
        </w:rPr>
        <w:t xml:space="preserve"> diets that are low in fats and carbohydrates and/or exercise), pharmacotherapy, and surgery. If weight loss with lifestyle changes is only modest, pharm</w:t>
      </w:r>
      <w:r>
        <w:rPr>
          <w:rFonts w:ascii="Times New Roman" w:hAnsi="Times New Roman" w:cs="Times New Roman"/>
          <w:sz w:val="20"/>
        </w:rPr>
        <w:t>acotherapy might be needed</w:t>
      </w:r>
      <w:r w:rsidRPr="00386C36">
        <w:rPr>
          <w:rFonts w:ascii="Times New Roman" w:hAnsi="Times New Roman" w:cs="Times New Roman"/>
          <w:sz w:val="20"/>
        </w:rPr>
        <w:t>. Pharmacotherapy, always adjunctively with lifestyle interventions, is also an option for any patient diagnosed with obesity (</w:t>
      </w:r>
      <w:r w:rsidRPr="00386C36">
        <w:rPr>
          <w:rFonts w:ascii="Times New Roman" w:hAnsi="Times New Roman" w:cs="Times New Roman"/>
          <w:sz w:val="20"/>
        </w:rPr>
        <w:t xml:space="preserve">Body Mass Index </w:t>
      </w:r>
      <w:r w:rsidRPr="00386C36">
        <w:rPr>
          <w:rFonts w:ascii="Times New Roman" w:hAnsi="Times New Roman" w:cs="Times New Roman"/>
          <w:sz w:val="20"/>
        </w:rPr>
        <w:t>[BMI] of 30 kg/m</w:t>
      </w:r>
      <w:r w:rsidRPr="00386C36">
        <w:rPr>
          <w:rFonts w:ascii="Times New Roman" w:hAnsi="Times New Roman" w:cs="Times New Roman"/>
          <w:sz w:val="20"/>
          <w:vertAlign w:val="superscript"/>
        </w:rPr>
        <w:t>2</w:t>
      </w:r>
      <w:r w:rsidRPr="00386C36">
        <w:rPr>
          <w:rFonts w:ascii="Times New Roman" w:hAnsi="Times New Roman" w:cs="Times New Roman"/>
          <w:sz w:val="20"/>
        </w:rPr>
        <w:t xml:space="preserve"> or greater) or with a BMI of 27 kg/m</w:t>
      </w:r>
      <w:r w:rsidRPr="00386C36">
        <w:rPr>
          <w:rFonts w:ascii="Times New Roman" w:hAnsi="Times New Roman" w:cs="Times New Roman"/>
          <w:sz w:val="20"/>
          <w:vertAlign w:val="superscript"/>
        </w:rPr>
        <w:t>2</w:t>
      </w:r>
      <w:r w:rsidRPr="00386C36">
        <w:rPr>
          <w:rFonts w:ascii="Times New Roman" w:hAnsi="Times New Roman" w:cs="Times New Roman"/>
          <w:sz w:val="20"/>
        </w:rPr>
        <w:t xml:space="preserve"> or greater and at least one coexisting condition, including type 2 diabetes, hypertension, hyp</w:t>
      </w:r>
      <w:r>
        <w:rPr>
          <w:rFonts w:ascii="Times New Roman" w:hAnsi="Times New Roman" w:cs="Times New Roman"/>
          <w:sz w:val="20"/>
        </w:rPr>
        <w:t>erlipidemia, and sleep apnea</w:t>
      </w:r>
      <w:r w:rsidRPr="00386C36">
        <w:rPr>
          <w:rFonts w:ascii="Times New Roman" w:hAnsi="Times New Roman" w:cs="Times New Roman"/>
          <w:sz w:val="20"/>
        </w:rPr>
        <w:t xml:space="preserve">. </w:t>
      </w:r>
    </w:p>
    <w:p w:rsidR="00386C36" w:rsidRPr="00386C36" w:rsidRDefault="00386C36" w:rsidP="00386C36">
      <w:pPr>
        <w:jc w:val="both"/>
        <w:rPr>
          <w:rFonts w:ascii="Times New Roman" w:hAnsi="Times New Roman" w:cs="Times New Roman"/>
          <w:sz w:val="20"/>
        </w:rPr>
      </w:pPr>
      <w:r w:rsidRPr="00386C36">
        <w:rPr>
          <w:rFonts w:ascii="Times New Roman" w:hAnsi="Times New Roman" w:cs="Times New Roman"/>
          <w:sz w:val="20"/>
        </w:rPr>
        <w:t>Presently, six drugs, including two peptides (</w:t>
      </w:r>
      <w:proofErr w:type="spellStart"/>
      <w:r w:rsidRPr="00386C36">
        <w:rPr>
          <w:rFonts w:ascii="Times New Roman" w:hAnsi="Times New Roman" w:cs="Times New Roman"/>
          <w:sz w:val="20"/>
        </w:rPr>
        <w:t>liraglutide</w:t>
      </w:r>
      <w:proofErr w:type="spellEnd"/>
      <w:r w:rsidRPr="00386C36">
        <w:rPr>
          <w:rFonts w:ascii="Times New Roman" w:hAnsi="Times New Roman" w:cs="Times New Roman"/>
          <w:sz w:val="20"/>
        </w:rPr>
        <w:t xml:space="preserve"> and </w:t>
      </w:r>
      <w:proofErr w:type="spellStart"/>
      <w:r w:rsidRPr="00386C36">
        <w:rPr>
          <w:rFonts w:ascii="Times New Roman" w:hAnsi="Times New Roman" w:cs="Times New Roman"/>
          <w:sz w:val="20"/>
        </w:rPr>
        <w:t>semaglutide</w:t>
      </w:r>
      <w:proofErr w:type="spellEnd"/>
      <w:r w:rsidRPr="00386C36">
        <w:rPr>
          <w:rFonts w:ascii="Times New Roman" w:hAnsi="Times New Roman" w:cs="Times New Roman"/>
          <w:sz w:val="20"/>
        </w:rPr>
        <w:t xml:space="preserve">) are approved for weight management in adults: </w:t>
      </w:r>
      <w:proofErr w:type="spellStart"/>
      <w:r w:rsidRPr="00386C36">
        <w:rPr>
          <w:rFonts w:ascii="Times New Roman" w:hAnsi="Times New Roman" w:cs="Times New Roman"/>
          <w:sz w:val="20"/>
        </w:rPr>
        <w:t>orlistat</w:t>
      </w:r>
      <w:proofErr w:type="spellEnd"/>
      <w:r w:rsidRPr="00386C36">
        <w:rPr>
          <w:rFonts w:ascii="Times New Roman" w:hAnsi="Times New Roman" w:cs="Times New Roman"/>
          <w:sz w:val="20"/>
        </w:rPr>
        <w:t>, phentermine, phentermine-</w:t>
      </w:r>
      <w:proofErr w:type="spellStart"/>
      <w:r w:rsidRPr="00386C36">
        <w:rPr>
          <w:rFonts w:ascii="Times New Roman" w:hAnsi="Times New Roman" w:cs="Times New Roman"/>
          <w:sz w:val="20"/>
        </w:rPr>
        <w:t>topiramate</w:t>
      </w:r>
      <w:proofErr w:type="spellEnd"/>
      <w:r w:rsidRPr="00386C36">
        <w:rPr>
          <w:rFonts w:ascii="Times New Roman" w:hAnsi="Times New Roman" w:cs="Times New Roman"/>
          <w:sz w:val="20"/>
        </w:rPr>
        <w:t xml:space="preserve"> and naltrexone-bupropion. </w:t>
      </w:r>
      <w:proofErr w:type="spellStart"/>
      <w:r w:rsidRPr="00386C36">
        <w:rPr>
          <w:rFonts w:ascii="Times New Roman" w:hAnsi="Times New Roman" w:cs="Times New Roman"/>
          <w:sz w:val="20"/>
        </w:rPr>
        <w:t>Orlistat</w:t>
      </w:r>
      <w:proofErr w:type="spellEnd"/>
      <w:r w:rsidRPr="00386C36">
        <w:rPr>
          <w:rFonts w:ascii="Times New Roman" w:hAnsi="Times New Roman" w:cs="Times New Roman"/>
          <w:sz w:val="20"/>
        </w:rPr>
        <w:t xml:space="preserve"> is approved in both Europe and USA and its mode of action is by energy waste. Phentermine, phentermine-</w:t>
      </w:r>
      <w:proofErr w:type="spellStart"/>
      <w:r w:rsidRPr="00386C36">
        <w:rPr>
          <w:rFonts w:ascii="Times New Roman" w:hAnsi="Times New Roman" w:cs="Times New Roman"/>
          <w:sz w:val="20"/>
        </w:rPr>
        <w:t>topiramate</w:t>
      </w:r>
      <w:proofErr w:type="spellEnd"/>
      <w:r w:rsidRPr="00386C36">
        <w:rPr>
          <w:rFonts w:ascii="Times New Roman" w:hAnsi="Times New Roman" w:cs="Times New Roman"/>
          <w:sz w:val="20"/>
        </w:rPr>
        <w:t xml:space="preserve"> and </w:t>
      </w:r>
      <w:proofErr w:type="spellStart"/>
      <w:r w:rsidRPr="00386C36">
        <w:rPr>
          <w:rFonts w:ascii="Times New Roman" w:hAnsi="Times New Roman" w:cs="Times New Roman"/>
          <w:sz w:val="20"/>
        </w:rPr>
        <w:t>lorcaserin</w:t>
      </w:r>
      <w:proofErr w:type="spellEnd"/>
      <w:r w:rsidRPr="00386C36">
        <w:rPr>
          <w:rFonts w:ascii="Times New Roman" w:hAnsi="Times New Roman" w:cs="Times New Roman"/>
          <w:sz w:val="20"/>
        </w:rPr>
        <w:t xml:space="preserve"> are approved only in the US and their action is related to appetite reduction. The same mode of action is followed by naltrexone-bupropion and </w:t>
      </w:r>
      <w:proofErr w:type="spellStart"/>
      <w:r w:rsidRPr="00386C36">
        <w:rPr>
          <w:rFonts w:ascii="Times New Roman" w:hAnsi="Times New Roman" w:cs="Times New Roman"/>
          <w:sz w:val="20"/>
        </w:rPr>
        <w:t>liraglutide</w:t>
      </w:r>
      <w:proofErr w:type="spellEnd"/>
      <w:r w:rsidRPr="00386C36">
        <w:rPr>
          <w:rFonts w:ascii="Times New Roman" w:hAnsi="Times New Roman" w:cs="Times New Roman"/>
          <w:sz w:val="20"/>
        </w:rPr>
        <w:t>, which are approved in both Europe and USA.</w:t>
      </w:r>
    </w:p>
    <w:p w:rsidR="00386C36" w:rsidRPr="00386C36" w:rsidRDefault="00386C36" w:rsidP="00386C36">
      <w:pPr>
        <w:jc w:val="both"/>
        <w:rPr>
          <w:rFonts w:ascii="Times New Roman" w:hAnsi="Times New Roman" w:cs="Times New Roman"/>
          <w:sz w:val="20"/>
        </w:rPr>
      </w:pPr>
      <w:r w:rsidRPr="00386C36">
        <w:rPr>
          <w:rFonts w:ascii="Times New Roman" w:hAnsi="Times New Roman" w:cs="Times New Roman"/>
          <w:sz w:val="20"/>
        </w:rPr>
        <w:t>From the aforementioned drugs some are approv</w:t>
      </w:r>
      <w:r>
        <w:rPr>
          <w:rFonts w:ascii="Times New Roman" w:hAnsi="Times New Roman" w:cs="Times New Roman"/>
          <w:sz w:val="20"/>
        </w:rPr>
        <w:t>ed for short-term management (&lt;</w:t>
      </w:r>
      <w:r w:rsidRPr="00386C36">
        <w:rPr>
          <w:rFonts w:ascii="Times New Roman" w:hAnsi="Times New Roman" w:cs="Times New Roman"/>
          <w:sz w:val="20"/>
        </w:rPr>
        <w:t>6 months) whilst others are appro</w:t>
      </w:r>
      <w:r>
        <w:rPr>
          <w:rFonts w:ascii="Times New Roman" w:hAnsi="Times New Roman" w:cs="Times New Roman"/>
          <w:sz w:val="20"/>
        </w:rPr>
        <w:t>ved for long-term management (&gt;</w:t>
      </w:r>
      <w:r w:rsidRPr="00386C36">
        <w:rPr>
          <w:rFonts w:ascii="Times New Roman" w:hAnsi="Times New Roman" w:cs="Times New Roman"/>
          <w:sz w:val="20"/>
        </w:rPr>
        <w:t>12 months). The drug therapy is personalized and modified for each individual patient, depending on needs, contraindications, and cost. Benefits of these drugs should be assessed regularly (every 2-3 months) and a different drug treatment should be considered if at least 5% of body weight is not lo</w:t>
      </w:r>
      <w:r>
        <w:rPr>
          <w:rFonts w:ascii="Times New Roman" w:hAnsi="Times New Roman" w:cs="Times New Roman"/>
          <w:sz w:val="20"/>
        </w:rPr>
        <w:t>st after 3 months of therapy</w:t>
      </w:r>
      <w:r w:rsidRPr="00386C36">
        <w:rPr>
          <w:rFonts w:ascii="Times New Roman" w:hAnsi="Times New Roman" w:cs="Times New Roman"/>
          <w:sz w:val="20"/>
        </w:rPr>
        <w:t xml:space="preserve">. </w:t>
      </w:r>
    </w:p>
    <w:p w:rsidR="00386C36" w:rsidRPr="00386C36" w:rsidRDefault="00386C36" w:rsidP="00386C36">
      <w:pPr>
        <w:jc w:val="both"/>
        <w:rPr>
          <w:rFonts w:ascii="Times New Roman" w:hAnsi="Times New Roman" w:cs="Times New Roman"/>
          <w:sz w:val="20"/>
        </w:rPr>
      </w:pPr>
      <w:r w:rsidRPr="00386C36">
        <w:rPr>
          <w:rFonts w:ascii="Times New Roman" w:hAnsi="Times New Roman" w:cs="Times New Roman"/>
          <w:sz w:val="20"/>
        </w:rPr>
        <w:t>As already mentioned, one of the approved drugs in obesity management is the combination of naltrexone/bupropion, which was developed by joining these two brain regions acting agents, already approved for other indications (naltrexone for opioid and alcohol addiction and bupropion for depression and smoking cessation), in a single solid pharmaceutical formulation, which regula</w:t>
      </w:r>
      <w:r>
        <w:rPr>
          <w:rFonts w:ascii="Times New Roman" w:hAnsi="Times New Roman" w:cs="Times New Roman"/>
          <w:sz w:val="20"/>
        </w:rPr>
        <w:t>tes food intake and body weight</w:t>
      </w:r>
      <w:r w:rsidRPr="00386C36">
        <w:rPr>
          <w:rFonts w:ascii="Times New Roman" w:hAnsi="Times New Roman" w:cs="Times New Roman"/>
          <w:sz w:val="20"/>
        </w:rPr>
        <w:t xml:space="preserve">. This compounded drug is known as </w:t>
      </w:r>
      <w:proofErr w:type="spellStart"/>
      <w:r w:rsidRPr="00386C36">
        <w:rPr>
          <w:rFonts w:ascii="Times New Roman" w:hAnsi="Times New Roman" w:cs="Times New Roman"/>
          <w:sz w:val="20"/>
        </w:rPr>
        <w:t>Contrave</w:t>
      </w:r>
      <w:proofErr w:type="spellEnd"/>
      <w:r w:rsidRPr="00386C36">
        <w:rPr>
          <w:rFonts w:ascii="Times New Roman" w:hAnsi="Times New Roman" w:cs="Times New Roman"/>
          <w:sz w:val="20"/>
        </w:rPr>
        <w:t xml:space="preserve">® in the US or </w:t>
      </w:r>
      <w:proofErr w:type="spellStart"/>
      <w:r w:rsidRPr="00386C36">
        <w:rPr>
          <w:rFonts w:ascii="Times New Roman" w:hAnsi="Times New Roman" w:cs="Times New Roman"/>
          <w:sz w:val="20"/>
        </w:rPr>
        <w:t>Mysimba</w:t>
      </w:r>
      <w:proofErr w:type="spellEnd"/>
      <w:r w:rsidRPr="00386C36">
        <w:rPr>
          <w:rFonts w:ascii="Times New Roman" w:hAnsi="Times New Roman" w:cs="Times New Roman"/>
          <w:sz w:val="20"/>
        </w:rPr>
        <w:t>® in Europe (</w:t>
      </w:r>
      <w:proofErr w:type="spellStart"/>
      <w:r w:rsidRPr="00386C36">
        <w:rPr>
          <w:rFonts w:ascii="Times New Roman" w:hAnsi="Times New Roman" w:cs="Times New Roman"/>
          <w:sz w:val="20"/>
        </w:rPr>
        <w:t>Orexigen</w:t>
      </w:r>
      <w:proofErr w:type="spellEnd"/>
      <w:r w:rsidRPr="00386C36">
        <w:rPr>
          <w:rFonts w:ascii="Times New Roman" w:hAnsi="Times New Roman" w:cs="Times New Roman"/>
          <w:sz w:val="20"/>
        </w:rPr>
        <w:t xml:space="preserve"> Therapeutics, Inc.). However, there are concerns regarding cardiovascular-related side effects of these naltrexone/bupropion carriers. Due to these serious health adverse effects, there is an urgent need to develop more effective and less hazardous naltrexone/bupropion sustained/controlled release systems, by employing </w:t>
      </w:r>
      <w:proofErr w:type="spellStart"/>
      <w:r w:rsidRPr="00386C36">
        <w:rPr>
          <w:rFonts w:ascii="Times New Roman" w:hAnsi="Times New Roman" w:cs="Times New Roman"/>
          <w:sz w:val="20"/>
        </w:rPr>
        <w:t>biopolymeric</w:t>
      </w:r>
      <w:proofErr w:type="spellEnd"/>
      <w:r w:rsidRPr="00386C36">
        <w:rPr>
          <w:rFonts w:ascii="Times New Roman" w:hAnsi="Times New Roman" w:cs="Times New Roman"/>
          <w:sz w:val="20"/>
        </w:rPr>
        <w:t xml:space="preserve"> excipients with </w:t>
      </w:r>
      <w:proofErr w:type="spellStart"/>
      <w:r w:rsidRPr="00386C36">
        <w:rPr>
          <w:rFonts w:ascii="Times New Roman" w:hAnsi="Times New Roman" w:cs="Times New Roman"/>
          <w:sz w:val="20"/>
        </w:rPr>
        <w:t>stereoelectronic</w:t>
      </w:r>
      <w:proofErr w:type="spellEnd"/>
      <w:r w:rsidRPr="00386C36">
        <w:rPr>
          <w:rFonts w:ascii="Times New Roman" w:hAnsi="Times New Roman" w:cs="Times New Roman"/>
          <w:sz w:val="20"/>
        </w:rPr>
        <w:t xml:space="preserve"> characteristics that would favor chemical interactions with the </w:t>
      </w:r>
      <w:proofErr w:type="spellStart"/>
      <w:r w:rsidRPr="00386C36">
        <w:rPr>
          <w:rFonts w:ascii="Times New Roman" w:hAnsi="Times New Roman" w:cs="Times New Roman"/>
          <w:sz w:val="20"/>
        </w:rPr>
        <w:t>pharmacophoric</w:t>
      </w:r>
      <w:proofErr w:type="spellEnd"/>
      <w:r w:rsidRPr="00386C36">
        <w:rPr>
          <w:rFonts w:ascii="Times New Roman" w:hAnsi="Times New Roman" w:cs="Times New Roman"/>
          <w:sz w:val="20"/>
        </w:rPr>
        <w:t xml:space="preserve"> groups of both naltrexone and bupropion. These inter- and supra-molecular interactions will allow for maximum therapeutic potential and substantially less side effects.</w:t>
      </w:r>
    </w:p>
    <w:p w:rsidR="00386C36" w:rsidRDefault="00386C36" w:rsidP="00386C36">
      <w:pPr>
        <w:jc w:val="both"/>
        <w:rPr>
          <w:rFonts w:ascii="Times New Roman" w:hAnsi="Times New Roman" w:cs="Times New Roman"/>
          <w:sz w:val="20"/>
        </w:rPr>
      </w:pPr>
      <w:r w:rsidRPr="00386C36">
        <w:rPr>
          <w:rFonts w:ascii="Times New Roman" w:hAnsi="Times New Roman" w:cs="Times New Roman"/>
          <w:sz w:val="20"/>
        </w:rPr>
        <w:t>To conclude, obesity is a multifactorial disease, which poses serious health risks. Its timely and correct treatment is a panacea for the course of mental and physical health. A cornerstone for the treatment of obesity is the healthy dietary/exercise interventions and possible the inclusion of preparations with satisfactory effectiveness and safety. Still, research and development should continue the effort to develop new agents and drug combinations.</w:t>
      </w:r>
    </w:p>
    <w:p w:rsidR="00386C36" w:rsidRPr="00386C36" w:rsidRDefault="00386C36" w:rsidP="00386C36">
      <w:pPr>
        <w:rPr>
          <w:rFonts w:ascii="Times New Roman" w:hAnsi="Times New Roman" w:cs="Times New Roman"/>
          <w:b/>
          <w:sz w:val="24"/>
        </w:rPr>
      </w:pPr>
      <w:r w:rsidRPr="00386C36">
        <w:rPr>
          <w:rFonts w:ascii="Times New Roman" w:hAnsi="Times New Roman" w:cs="Times New Roman"/>
          <w:b/>
          <w:sz w:val="24"/>
        </w:rPr>
        <w:t>Importance of Research</w:t>
      </w:r>
    </w:p>
    <w:p w:rsidR="00386C36" w:rsidRPr="00386C36" w:rsidRDefault="00386C36" w:rsidP="00386C36">
      <w:pPr>
        <w:jc w:val="both"/>
        <w:rPr>
          <w:rFonts w:ascii="Times New Roman" w:hAnsi="Times New Roman" w:cs="Times New Roman"/>
          <w:sz w:val="20"/>
        </w:rPr>
      </w:pPr>
      <w:r>
        <w:rPr>
          <w:rFonts w:ascii="Times New Roman" w:hAnsi="Times New Roman" w:cs="Times New Roman"/>
          <w:sz w:val="20"/>
        </w:rPr>
        <w:t xml:space="preserve">As previously stated, obesity </w:t>
      </w:r>
      <w:r w:rsidRPr="00386C36">
        <w:rPr>
          <w:rFonts w:ascii="Times New Roman" w:hAnsi="Times New Roman" w:cs="Times New Roman"/>
          <w:sz w:val="20"/>
        </w:rPr>
        <w:t xml:space="preserve">affects about 13% of the world population, results in significant deterioration of health and serious clinical, mainly metabolic and cardiovascular complications. Regarding the current alarming epidemiological data there is a need for intensive prevention and treatment of obesity and the development of new </w:t>
      </w:r>
      <w:r w:rsidRPr="00386C36">
        <w:rPr>
          <w:rFonts w:ascii="Times New Roman" w:hAnsi="Times New Roman" w:cs="Times New Roman"/>
          <w:sz w:val="20"/>
        </w:rPr>
        <w:lastRenderedPageBreak/>
        <w:t xml:space="preserve">forms of pharmacotherapy (new treatment regimens) to develop effective, safe, long-term effective therapy for the treatment of obesity, and above all, to individualize therapy. However, the formulation development and the excipient selection are time consuming processes that delay the release of the drug to the market. </w:t>
      </w:r>
    </w:p>
    <w:p w:rsidR="00386C36" w:rsidRPr="00386C36" w:rsidRDefault="00386C36" w:rsidP="00386C36">
      <w:pPr>
        <w:jc w:val="both"/>
        <w:rPr>
          <w:rFonts w:ascii="Times New Roman" w:hAnsi="Times New Roman" w:cs="Times New Roman"/>
          <w:sz w:val="20"/>
        </w:rPr>
      </w:pPr>
      <w:r w:rsidRPr="00386C36">
        <w:rPr>
          <w:rFonts w:ascii="Times New Roman" w:hAnsi="Times New Roman" w:cs="Times New Roman"/>
          <w:sz w:val="20"/>
        </w:rPr>
        <w:t xml:space="preserve">Our research team is currently working on the production of multilayered tablets of naltrexone/bupropion, which can offer anti-obesity treatment. This is envisioned to take place by using, for the preparation of the proposed tablets, combinations of biopolymers with physicochemical properties compatible with the </w:t>
      </w:r>
      <w:proofErr w:type="spellStart"/>
      <w:r w:rsidRPr="00386C36">
        <w:rPr>
          <w:rFonts w:ascii="Times New Roman" w:hAnsi="Times New Roman" w:cs="Times New Roman"/>
          <w:sz w:val="20"/>
        </w:rPr>
        <w:t>stereoelectronic</w:t>
      </w:r>
      <w:proofErr w:type="spellEnd"/>
      <w:r w:rsidRPr="00386C36">
        <w:rPr>
          <w:rFonts w:ascii="Times New Roman" w:hAnsi="Times New Roman" w:cs="Times New Roman"/>
          <w:sz w:val="20"/>
        </w:rPr>
        <w:t xml:space="preserve"> features of both naltrexone and bupropion. This will lead to the release of the compounded two drugs by an overlapping sustained/controlled mechanism. This combined release mechanistic model, which will be used for the first time, in the case of the naltrexone/bupropion system, is expected to result to effective anti-obesity therapy with less adverse effects.</w:t>
      </w:r>
    </w:p>
    <w:p w:rsidR="00386C36" w:rsidRPr="00386C36" w:rsidRDefault="00386C36" w:rsidP="00386C36">
      <w:pPr>
        <w:rPr>
          <w:rFonts w:ascii="Times New Roman" w:hAnsi="Times New Roman" w:cs="Times New Roman"/>
          <w:b/>
          <w:sz w:val="24"/>
        </w:rPr>
      </w:pPr>
      <w:r w:rsidRPr="00386C36">
        <w:rPr>
          <w:rFonts w:ascii="Times New Roman" w:hAnsi="Times New Roman" w:cs="Times New Roman"/>
          <w:b/>
          <w:sz w:val="24"/>
        </w:rPr>
        <w:t>Biography</w:t>
      </w:r>
    </w:p>
    <w:p w:rsidR="00386C36" w:rsidRPr="00386C36" w:rsidRDefault="00386C36" w:rsidP="00386C36">
      <w:pPr>
        <w:jc w:val="both"/>
        <w:rPr>
          <w:rFonts w:ascii="Times New Roman" w:hAnsi="Times New Roman" w:cs="Times New Roman"/>
          <w:b/>
          <w:sz w:val="32"/>
        </w:rPr>
      </w:pPr>
      <w:proofErr w:type="spellStart"/>
      <w:r w:rsidRPr="00386C36">
        <w:rPr>
          <w:rFonts w:ascii="Times New Roman" w:hAnsi="Times New Roman" w:cs="Times New Roman"/>
          <w:sz w:val="20"/>
        </w:rPr>
        <w:t>Marilena</w:t>
      </w:r>
      <w:proofErr w:type="spellEnd"/>
      <w:r w:rsidRPr="00386C36">
        <w:rPr>
          <w:rFonts w:ascii="Times New Roman" w:hAnsi="Times New Roman" w:cs="Times New Roman"/>
          <w:sz w:val="20"/>
        </w:rPr>
        <w:t xml:space="preserve"> </w:t>
      </w:r>
      <w:proofErr w:type="spellStart"/>
      <w:r w:rsidRPr="00386C36">
        <w:rPr>
          <w:rFonts w:ascii="Times New Roman" w:hAnsi="Times New Roman" w:cs="Times New Roman"/>
          <w:sz w:val="20"/>
        </w:rPr>
        <w:t>Vlachou</w:t>
      </w:r>
      <w:proofErr w:type="spellEnd"/>
      <w:r w:rsidRPr="00386C36">
        <w:rPr>
          <w:rFonts w:ascii="Times New Roman" w:hAnsi="Times New Roman" w:cs="Times New Roman"/>
          <w:sz w:val="20"/>
        </w:rPr>
        <w:t xml:space="preserve"> is an Associate Professor at the National and </w:t>
      </w:r>
      <w:proofErr w:type="spellStart"/>
      <w:r w:rsidRPr="00386C36">
        <w:rPr>
          <w:rFonts w:ascii="Times New Roman" w:hAnsi="Times New Roman" w:cs="Times New Roman"/>
          <w:sz w:val="20"/>
        </w:rPr>
        <w:t>Kapodistrian</w:t>
      </w:r>
      <w:proofErr w:type="spellEnd"/>
      <w:r w:rsidRPr="00386C36">
        <w:rPr>
          <w:rFonts w:ascii="Times New Roman" w:hAnsi="Times New Roman" w:cs="Times New Roman"/>
          <w:sz w:val="20"/>
        </w:rPr>
        <w:t xml:space="preserve"> University of Athens (</w:t>
      </w:r>
      <w:proofErr w:type="spellStart"/>
      <w:r w:rsidRPr="00386C36">
        <w:rPr>
          <w:rFonts w:ascii="Times New Roman" w:hAnsi="Times New Roman" w:cs="Times New Roman"/>
          <w:sz w:val="20"/>
        </w:rPr>
        <w:t>NKUoA</w:t>
      </w:r>
      <w:proofErr w:type="spellEnd"/>
      <w:r w:rsidRPr="00386C36">
        <w:rPr>
          <w:rFonts w:ascii="Times New Roman" w:hAnsi="Times New Roman" w:cs="Times New Roman"/>
          <w:sz w:val="20"/>
        </w:rPr>
        <w:t xml:space="preserve">), Greece. She obtained her Pharmacy and PhD (Pharmaceutical Technology) degrees from the </w:t>
      </w:r>
      <w:proofErr w:type="spellStart"/>
      <w:r w:rsidRPr="00386C36">
        <w:rPr>
          <w:rFonts w:ascii="Times New Roman" w:hAnsi="Times New Roman" w:cs="Times New Roman"/>
          <w:sz w:val="20"/>
        </w:rPr>
        <w:t>NKUoA</w:t>
      </w:r>
      <w:proofErr w:type="spellEnd"/>
      <w:r w:rsidRPr="00386C36">
        <w:rPr>
          <w:rFonts w:ascii="Times New Roman" w:hAnsi="Times New Roman" w:cs="Times New Roman"/>
          <w:sz w:val="20"/>
        </w:rPr>
        <w:t>. Just prior to obtaining her PhD degree she moved to th</w:t>
      </w:r>
      <w:r w:rsidR="0076279D">
        <w:rPr>
          <w:rFonts w:ascii="Times New Roman" w:hAnsi="Times New Roman" w:cs="Times New Roman"/>
          <w:sz w:val="20"/>
        </w:rPr>
        <w:t>e University of Rhode Island, USA</w:t>
      </w:r>
      <w:r w:rsidRPr="00386C36">
        <w:rPr>
          <w:rFonts w:ascii="Times New Roman" w:hAnsi="Times New Roman" w:cs="Times New Roman"/>
          <w:sz w:val="20"/>
        </w:rPr>
        <w:t xml:space="preserve">, as a Visiting Research Scientist, to conduct state of the art research related to Pharmaceutical Technology techniques. In </w:t>
      </w:r>
      <w:proofErr w:type="spellStart"/>
      <w:r w:rsidRPr="00386C36">
        <w:rPr>
          <w:rFonts w:ascii="Times New Roman" w:hAnsi="Times New Roman" w:cs="Times New Roman"/>
          <w:sz w:val="20"/>
        </w:rPr>
        <w:t>NKUoA</w:t>
      </w:r>
      <w:proofErr w:type="spellEnd"/>
      <w:r w:rsidRPr="00386C36">
        <w:rPr>
          <w:rFonts w:ascii="Times New Roman" w:hAnsi="Times New Roman" w:cs="Times New Roman"/>
          <w:sz w:val="20"/>
        </w:rPr>
        <w:t>, she teaches, at both undergraduate and postgraduate level, courses related to the fields of Pharmaceutical Technology, Physical Pharmacy and Nanotechnology. She has co-authored the textbook entitled “Pharmaceutical Technology I: Principles of Physical Pharmacy and Nanotechnology”, and many book chapters. She has presented her research work in more than sixty (60) International Scientific Conferences and she has published more than fifty (50) articles in peer-reviewed Journals.</w:t>
      </w:r>
      <w:bookmarkEnd w:id="0"/>
    </w:p>
    <w:sectPr w:rsidR="00386C36" w:rsidRPr="00386C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C36"/>
    <w:rsid w:val="00371986"/>
    <w:rsid w:val="00386C36"/>
    <w:rsid w:val="00474203"/>
    <w:rsid w:val="00535872"/>
    <w:rsid w:val="0076279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2022-11-18T11:12:00Z</dcterms:created>
  <dcterms:modified xsi:type="dcterms:W3CDTF">2022-11-18T11:27:00Z</dcterms:modified>
</cp:coreProperties>
</file>