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8CB" w:rsidRDefault="00D42524" w:rsidP="00D42524">
      <w:pPr>
        <w:rPr>
          <w:rFonts w:ascii="Times New Roman" w:hAnsi="Times New Roman" w:cs="Times New Roman"/>
          <w:b/>
          <w:sz w:val="32"/>
        </w:rPr>
      </w:pPr>
      <w:commentRangeStart w:id="0"/>
      <w:proofErr w:type="spellStart"/>
      <w:r w:rsidRPr="00D42524">
        <w:rPr>
          <w:rFonts w:ascii="Times New Roman" w:hAnsi="Times New Roman" w:cs="Times New Roman"/>
          <w:b/>
          <w:sz w:val="32"/>
        </w:rPr>
        <w:t>Gestagen</w:t>
      </w:r>
      <w:proofErr w:type="spellEnd"/>
      <w:r w:rsidRPr="00D42524">
        <w:rPr>
          <w:rFonts w:ascii="Times New Roman" w:hAnsi="Times New Roman" w:cs="Times New Roman"/>
          <w:b/>
          <w:sz w:val="32"/>
        </w:rPr>
        <w:t xml:space="preserve"> resistant endometrial hyperplasia: </w:t>
      </w:r>
      <w:r w:rsidRPr="00D42524">
        <w:rPr>
          <w:rFonts w:ascii="Times New Roman" w:hAnsi="Times New Roman" w:cs="Times New Roman"/>
          <w:b/>
          <w:sz w:val="32"/>
        </w:rPr>
        <w:t xml:space="preserve">Could </w:t>
      </w:r>
      <w:proofErr w:type="spellStart"/>
      <w:r w:rsidRPr="00D42524">
        <w:rPr>
          <w:rFonts w:ascii="Times New Roman" w:hAnsi="Times New Roman" w:cs="Times New Roman"/>
          <w:b/>
          <w:sz w:val="32"/>
        </w:rPr>
        <w:t>Letrozole</w:t>
      </w:r>
      <w:proofErr w:type="spellEnd"/>
      <w:r w:rsidRPr="00D42524">
        <w:rPr>
          <w:rFonts w:ascii="Times New Roman" w:hAnsi="Times New Roman" w:cs="Times New Roman"/>
          <w:b/>
          <w:sz w:val="32"/>
        </w:rPr>
        <w:t xml:space="preserve"> </w:t>
      </w:r>
      <w:r w:rsidRPr="00D42524">
        <w:rPr>
          <w:rFonts w:ascii="Times New Roman" w:hAnsi="Times New Roman" w:cs="Times New Roman"/>
          <w:b/>
          <w:sz w:val="32"/>
        </w:rPr>
        <w:t>solve</w:t>
      </w:r>
      <w:r>
        <w:rPr>
          <w:rFonts w:ascii="Times New Roman" w:hAnsi="Times New Roman" w:cs="Times New Roman"/>
          <w:b/>
          <w:sz w:val="32"/>
        </w:rPr>
        <w:t xml:space="preserve"> the problem</w:t>
      </w:r>
      <w:r w:rsidRPr="00D42524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a</w:t>
      </w:r>
      <w:r w:rsidRPr="00D42524">
        <w:rPr>
          <w:rFonts w:ascii="Times New Roman" w:hAnsi="Times New Roman" w:cs="Times New Roman"/>
          <w:b/>
          <w:sz w:val="32"/>
        </w:rPr>
        <w:t>nd a review of abnormal uterine bleeding</w:t>
      </w:r>
      <w:commentRangeEnd w:id="0"/>
      <w:r>
        <w:rPr>
          <w:rStyle w:val="CommentReference"/>
        </w:rPr>
        <w:commentReference w:id="0"/>
      </w:r>
    </w:p>
    <w:p w:rsidR="00D42524" w:rsidRDefault="00D42524" w:rsidP="00D42524">
      <w:pPr>
        <w:rPr>
          <w:rFonts w:ascii="Times New Roman" w:hAnsi="Times New Roman" w:cs="Times New Roman"/>
          <w:sz w:val="24"/>
        </w:rPr>
      </w:pPr>
      <w:commentRangeStart w:id="1"/>
      <w:r w:rsidRPr="00D42524">
        <w:rPr>
          <w:rFonts w:ascii="Times New Roman" w:hAnsi="Times New Roman" w:cs="Times New Roman"/>
          <w:sz w:val="24"/>
        </w:rPr>
        <w:t>Author name</w:t>
      </w:r>
    </w:p>
    <w:p w:rsidR="00D42524" w:rsidRDefault="00D42524" w:rsidP="00D42524">
      <w:pPr>
        <w:rPr>
          <w:rFonts w:ascii="Times New Roman" w:hAnsi="Times New Roman" w:cs="Times New Roman"/>
        </w:rPr>
      </w:pPr>
      <w:r w:rsidRPr="00D42524">
        <w:rPr>
          <w:rFonts w:ascii="Times New Roman" w:hAnsi="Times New Roman" w:cs="Times New Roman"/>
        </w:rPr>
        <w:t>University, Country</w:t>
      </w:r>
      <w:commentRangeEnd w:id="1"/>
      <w:r>
        <w:rPr>
          <w:rStyle w:val="CommentReference"/>
        </w:rPr>
        <w:commentReference w:id="1"/>
      </w:r>
    </w:p>
    <w:p w:rsidR="00D42524" w:rsidRPr="00D42524" w:rsidRDefault="00D42524" w:rsidP="00D42524">
      <w:pPr>
        <w:jc w:val="center"/>
        <w:rPr>
          <w:rFonts w:ascii="Times New Roman" w:hAnsi="Times New Roman" w:cs="Times New Roman"/>
          <w:b/>
          <w:sz w:val="24"/>
        </w:rPr>
      </w:pPr>
      <w:r w:rsidRPr="00D42524">
        <w:rPr>
          <w:rFonts w:ascii="Times New Roman" w:hAnsi="Times New Roman" w:cs="Times New Roman"/>
          <w:b/>
          <w:sz w:val="24"/>
        </w:rPr>
        <w:t>Abstract</w:t>
      </w:r>
    </w:p>
    <w:p w:rsidR="00D42524" w:rsidRPr="00D42524" w:rsidRDefault="00D42524" w:rsidP="00D42524">
      <w:pPr>
        <w:jc w:val="both"/>
        <w:rPr>
          <w:rFonts w:ascii="Times New Roman" w:hAnsi="Times New Roman" w:cs="Times New Roman"/>
          <w:sz w:val="20"/>
        </w:rPr>
      </w:pPr>
      <w:r w:rsidRPr="00D42524">
        <w:rPr>
          <w:rFonts w:ascii="Times New Roman" w:hAnsi="Times New Roman" w:cs="Times New Roman"/>
          <w:sz w:val="20"/>
        </w:rPr>
        <w:t>Endometrial hyperplasia is a condition of excessive proliferation of the endometrial cells which may present with abnormal uterine bleeding and considered an important risk factor for the development or even co-exis</w:t>
      </w:r>
      <w:r>
        <w:rPr>
          <w:rFonts w:ascii="Times New Roman" w:hAnsi="Times New Roman" w:cs="Times New Roman"/>
          <w:sz w:val="20"/>
        </w:rPr>
        <w:t xml:space="preserve">tence of endometrial cancer. </w:t>
      </w:r>
      <w:proofErr w:type="spellStart"/>
      <w:r>
        <w:rPr>
          <w:rFonts w:ascii="Times New Roman" w:hAnsi="Times New Roman" w:cs="Times New Roman"/>
          <w:sz w:val="20"/>
        </w:rPr>
        <w:t>Ges</w:t>
      </w:r>
      <w:r w:rsidRPr="00D42524">
        <w:rPr>
          <w:rFonts w:ascii="Times New Roman" w:hAnsi="Times New Roman" w:cs="Times New Roman"/>
          <w:sz w:val="20"/>
        </w:rPr>
        <w:t>tagen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failure can be defined as progression to atypical hyperplasia that occurs during follow-up, no histological regression of hyperplasia despite 12 months of treatment, relapse of endometrial hyperplasia after completing hormonal treatment, or Persistent bleeding. </w:t>
      </w:r>
    </w:p>
    <w:p w:rsidR="00D42524" w:rsidRPr="00D42524" w:rsidRDefault="00D42524" w:rsidP="00D42524">
      <w:pPr>
        <w:jc w:val="both"/>
        <w:rPr>
          <w:rFonts w:ascii="Times New Roman" w:hAnsi="Times New Roman" w:cs="Times New Roman"/>
          <w:sz w:val="20"/>
        </w:rPr>
      </w:pPr>
      <w:r w:rsidRPr="00D42524">
        <w:rPr>
          <w:rFonts w:ascii="Times New Roman" w:hAnsi="Times New Roman" w:cs="Times New Roman"/>
          <w:sz w:val="20"/>
        </w:rPr>
        <w:t xml:space="preserve">A total of 46 women diagnosed with simple endometrial hyperplasia without </w:t>
      </w:r>
      <w:proofErr w:type="spellStart"/>
      <w:r w:rsidRPr="00D42524">
        <w:rPr>
          <w:rFonts w:ascii="Times New Roman" w:hAnsi="Times New Roman" w:cs="Times New Roman"/>
          <w:sz w:val="20"/>
        </w:rPr>
        <w:t>atypia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with failed </w:t>
      </w:r>
      <w:proofErr w:type="spellStart"/>
      <w:r w:rsidRPr="00D42524">
        <w:rPr>
          <w:rFonts w:ascii="Times New Roman" w:hAnsi="Times New Roman" w:cs="Times New Roman"/>
          <w:sz w:val="20"/>
        </w:rPr>
        <w:t>gestagen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therapy (for at least one year) were enrolled. They were randomly assigned to either: Group </w:t>
      </w:r>
      <w:proofErr w:type="gramStart"/>
      <w:r w:rsidRPr="00D42524">
        <w:rPr>
          <w:rFonts w:ascii="Times New Roman" w:hAnsi="Times New Roman" w:cs="Times New Roman"/>
          <w:sz w:val="20"/>
        </w:rPr>
        <w:t>A</w:t>
      </w:r>
      <w:proofErr w:type="gramEnd"/>
      <w:r w:rsidRPr="00D42524">
        <w:rPr>
          <w:rFonts w:ascii="Times New Roman" w:hAnsi="Times New Roman" w:cs="Times New Roman"/>
          <w:sz w:val="20"/>
        </w:rPr>
        <w:t xml:space="preserve"> included 20 patients who received </w:t>
      </w:r>
      <w:proofErr w:type="spellStart"/>
      <w:r w:rsidRPr="00D42524">
        <w:rPr>
          <w:rFonts w:ascii="Times New Roman" w:hAnsi="Times New Roman" w:cs="Times New Roman"/>
          <w:sz w:val="20"/>
        </w:rPr>
        <w:t>letrozole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D42524">
        <w:rPr>
          <w:rFonts w:ascii="Times New Roman" w:hAnsi="Times New Roman" w:cs="Times New Roman"/>
          <w:sz w:val="20"/>
        </w:rPr>
        <w:t>Letrozole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Tablets, </w:t>
      </w:r>
      <w:proofErr w:type="spellStart"/>
      <w:r w:rsidRPr="00D42524">
        <w:rPr>
          <w:rFonts w:ascii="Times New Roman" w:hAnsi="Times New Roman" w:cs="Times New Roman"/>
          <w:sz w:val="20"/>
        </w:rPr>
        <w:t>Synthon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Pharmaceuticals, Inc.) in a dose of 2.5 mg daily for 3 months by non-stop regimen. Group B included 20 patients who received </w:t>
      </w:r>
      <w:proofErr w:type="spellStart"/>
      <w:r w:rsidRPr="00D42524">
        <w:rPr>
          <w:rFonts w:ascii="Times New Roman" w:hAnsi="Times New Roman" w:cs="Times New Roman"/>
          <w:sz w:val="20"/>
        </w:rPr>
        <w:t>letrozole</w:t>
      </w:r>
      <w:proofErr w:type="spellEnd"/>
      <w:r w:rsidRPr="00D42524">
        <w:rPr>
          <w:rFonts w:ascii="Times New Roman" w:hAnsi="Times New Roman" w:cs="Times New Roman"/>
          <w:sz w:val="20"/>
        </w:rPr>
        <w:t>; in a dose of 5 mg daily (2.5</w:t>
      </w:r>
      <w:r w:rsidR="00DB2E4D">
        <w:rPr>
          <w:rFonts w:ascii="Times New Roman" w:hAnsi="Times New Roman" w:cs="Times New Roman"/>
          <w:sz w:val="20"/>
        </w:rPr>
        <w:t xml:space="preserve"> </w:t>
      </w:r>
      <w:r w:rsidRPr="00D42524">
        <w:rPr>
          <w:rFonts w:ascii="Times New Roman" w:hAnsi="Times New Roman" w:cs="Times New Roman"/>
          <w:sz w:val="20"/>
        </w:rPr>
        <w:t xml:space="preserve">mg twice daily) for 3 months by non-stop regimen. </w:t>
      </w:r>
    </w:p>
    <w:p w:rsidR="00D42524" w:rsidRDefault="00D42524" w:rsidP="00D42524">
      <w:pPr>
        <w:jc w:val="both"/>
        <w:rPr>
          <w:rFonts w:ascii="Times New Roman" w:hAnsi="Times New Roman" w:cs="Times New Roman"/>
          <w:sz w:val="20"/>
        </w:rPr>
      </w:pPr>
      <w:r w:rsidRPr="00D42524">
        <w:rPr>
          <w:rFonts w:ascii="Times New Roman" w:hAnsi="Times New Roman" w:cs="Times New Roman"/>
          <w:sz w:val="20"/>
        </w:rPr>
        <w:t xml:space="preserve">Patients with simple endometrial hyperplasia without </w:t>
      </w:r>
      <w:proofErr w:type="spellStart"/>
      <w:r w:rsidRPr="00D42524">
        <w:rPr>
          <w:rFonts w:ascii="Times New Roman" w:hAnsi="Times New Roman" w:cs="Times New Roman"/>
          <w:sz w:val="20"/>
        </w:rPr>
        <w:t>atypia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with failed </w:t>
      </w:r>
      <w:proofErr w:type="spellStart"/>
      <w:r w:rsidRPr="00D42524">
        <w:rPr>
          <w:rFonts w:ascii="Times New Roman" w:hAnsi="Times New Roman" w:cs="Times New Roman"/>
          <w:sz w:val="20"/>
        </w:rPr>
        <w:t>Gestagen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therapy can be managed successfully with </w:t>
      </w:r>
      <w:proofErr w:type="spellStart"/>
      <w:r w:rsidRPr="00D42524">
        <w:rPr>
          <w:rFonts w:ascii="Times New Roman" w:hAnsi="Times New Roman" w:cs="Times New Roman"/>
          <w:sz w:val="20"/>
        </w:rPr>
        <w:t>Letrozole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. Both dose regimens used succeeded in management of simple endometrial hyperplasia without </w:t>
      </w:r>
      <w:proofErr w:type="spellStart"/>
      <w:r w:rsidRPr="00D42524">
        <w:rPr>
          <w:rFonts w:ascii="Times New Roman" w:hAnsi="Times New Roman" w:cs="Times New Roman"/>
          <w:sz w:val="20"/>
        </w:rPr>
        <w:t>atypia</w:t>
      </w:r>
      <w:proofErr w:type="spellEnd"/>
      <w:r w:rsidRPr="00D42524">
        <w:rPr>
          <w:rFonts w:ascii="Times New Roman" w:hAnsi="Times New Roman" w:cs="Times New Roman"/>
          <w:sz w:val="20"/>
        </w:rPr>
        <w:t xml:space="preserve"> with no significant difference between them as regard the clinical, radiological or histological outcome. However, the second dose group B (5 mg) was associated with higher side effects, failure rates, cost and less patient compliance, so, group A (2.5 mg) is preferred, however further RCT are warranted to prove or disprove this.</w:t>
      </w:r>
    </w:p>
    <w:p w:rsidR="00D42524" w:rsidRPr="00D42524" w:rsidRDefault="00D42524" w:rsidP="00D42524">
      <w:pPr>
        <w:rPr>
          <w:rFonts w:ascii="Times New Roman" w:hAnsi="Times New Roman" w:cs="Times New Roman"/>
          <w:b/>
          <w:sz w:val="24"/>
        </w:rPr>
      </w:pPr>
      <w:commentRangeStart w:id="2"/>
      <w:r w:rsidRPr="00D42524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  <w:bookmarkStart w:id="3" w:name="_GoBack"/>
      <w:bookmarkEnd w:id="3"/>
    </w:p>
    <w:sectPr w:rsidR="00D42524" w:rsidRPr="00D42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3T14:51:00Z" w:initials="SS">
    <w:p w:rsidR="00D42524" w:rsidRDefault="00D42524">
      <w:pPr>
        <w:pStyle w:val="CommentText"/>
      </w:pPr>
      <w:r>
        <w:rPr>
          <w:rStyle w:val="CommentReference"/>
        </w:rPr>
        <w:annotationRef/>
      </w:r>
      <w:r>
        <w:t>Rejected as content is plagiarized from below links.</w:t>
      </w:r>
    </w:p>
    <w:p w:rsidR="00D42524" w:rsidRDefault="00D42524">
      <w:pPr>
        <w:pStyle w:val="CommentText"/>
      </w:pPr>
    </w:p>
    <w:p w:rsidR="00D42524" w:rsidRDefault="00D42524" w:rsidP="00D42524">
      <w:pPr>
        <w:pStyle w:val="CommentText"/>
        <w:numPr>
          <w:ilvl w:val="0"/>
          <w:numId w:val="1"/>
        </w:numPr>
      </w:pPr>
      <w:hyperlink r:id="rId1" w:history="1">
        <w:r w:rsidRPr="002A5392">
          <w:rPr>
            <w:rStyle w:val="Hyperlink"/>
          </w:rPr>
          <w:t>https://www.morressier.com/o/event/5b6457d25aff74008adec96c/article/5b6d513b5aff74007b2b4930</w:t>
        </w:r>
      </w:hyperlink>
    </w:p>
    <w:p w:rsidR="00D42524" w:rsidRDefault="00D42524" w:rsidP="00D42524">
      <w:pPr>
        <w:pStyle w:val="CommentText"/>
        <w:numPr>
          <w:ilvl w:val="0"/>
          <w:numId w:val="1"/>
        </w:numPr>
      </w:pPr>
      <w:hyperlink r:id="rId2" w:history="1">
        <w:r w:rsidRPr="002A5392">
          <w:rPr>
            <w:rStyle w:val="Hyperlink"/>
          </w:rPr>
          <w:t>https://pubmed.ncbi.nlm.nih.gov/27363928/</w:t>
        </w:r>
      </w:hyperlink>
    </w:p>
    <w:p w:rsidR="00D42524" w:rsidRDefault="00D42524" w:rsidP="00D42524">
      <w:pPr>
        <w:pStyle w:val="CommentText"/>
      </w:pPr>
    </w:p>
  </w:comment>
  <w:comment w:id="1" w:author="Swetha Sandala" w:date="2022-06-03T14:49:00Z" w:initials="SS">
    <w:p w:rsidR="00D42524" w:rsidRDefault="00D42524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2-06-03T14:49:00Z" w:initials="SS">
    <w:p w:rsidR="00D42524" w:rsidRDefault="00D42524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B7F26"/>
    <w:multiLevelType w:val="hybridMultilevel"/>
    <w:tmpl w:val="161C9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24"/>
    <w:rsid w:val="004708CB"/>
    <w:rsid w:val="00D42524"/>
    <w:rsid w:val="00DB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25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5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5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5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5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25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25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5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5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5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5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25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pubmed.ncbi.nlm.nih.gov/27363928/" TargetMode="External"/><Relationship Id="rId1" Type="http://schemas.openxmlformats.org/officeDocument/2006/relationships/hyperlink" Target="https://www.morressier.com/o/event/5b6457d25aff74008adec96c/article/5b6d513b5aff74007b2b4930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2022-06-03T09:12:00Z</dcterms:created>
  <dcterms:modified xsi:type="dcterms:W3CDTF">2022-06-03T09:22:00Z</dcterms:modified>
</cp:coreProperties>
</file>