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F6C13" w:rsidP="008F6C13">
      <w:pPr>
        <w:rPr>
          <w:rFonts w:ascii="Times New Roman" w:hAnsi="Times New Roman" w:cs="Times New Roman"/>
          <w:b/>
          <w:sz w:val="32"/>
        </w:rPr>
      </w:pPr>
      <w:commentRangeStart w:id="0"/>
      <w:r w:rsidRPr="008F6C13">
        <w:rPr>
          <w:rFonts w:ascii="Times New Roman" w:hAnsi="Times New Roman" w:cs="Times New Roman"/>
          <w:b/>
          <w:sz w:val="32"/>
        </w:rPr>
        <w:t xml:space="preserve">Impact of foliar application of fungicides on tomato leaf fungal community structure revealed by </w:t>
      </w:r>
      <w:proofErr w:type="spellStart"/>
      <w:r w:rsidRPr="008F6C13">
        <w:rPr>
          <w:rFonts w:ascii="Times New Roman" w:hAnsi="Times New Roman" w:cs="Times New Roman"/>
          <w:b/>
          <w:sz w:val="32"/>
        </w:rPr>
        <w:t>metagenomic</w:t>
      </w:r>
      <w:proofErr w:type="spellEnd"/>
      <w:r w:rsidRPr="008F6C13">
        <w:rPr>
          <w:rFonts w:ascii="Times New Roman" w:hAnsi="Times New Roman" w:cs="Times New Roman"/>
          <w:b/>
          <w:sz w:val="32"/>
        </w:rPr>
        <w:t xml:space="preserve"> analysis</w:t>
      </w:r>
      <w:commentRangeEnd w:id="0"/>
      <w:r w:rsidR="0027787B">
        <w:rPr>
          <w:rStyle w:val="CommentReference"/>
        </w:rPr>
        <w:commentReference w:id="0"/>
      </w:r>
    </w:p>
    <w:p w:rsidR="008F6C13" w:rsidRDefault="008F6C13" w:rsidP="008F6C1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V. </w:t>
      </w:r>
      <w:proofErr w:type="spellStart"/>
      <w:r>
        <w:rPr>
          <w:rFonts w:ascii="Times New Roman" w:hAnsi="Times New Roman" w:cs="Times New Roman"/>
          <w:sz w:val="24"/>
        </w:rPr>
        <w:t>Sumbula</w:t>
      </w:r>
      <w:proofErr w:type="spellEnd"/>
      <w:r>
        <w:rPr>
          <w:rFonts w:ascii="Times New Roman" w:hAnsi="Times New Roman" w:cs="Times New Roman"/>
          <w:sz w:val="24"/>
        </w:rPr>
        <w:t xml:space="preserve">*, P. </w:t>
      </w:r>
      <w:proofErr w:type="spellStart"/>
      <w:r>
        <w:rPr>
          <w:rFonts w:ascii="Times New Roman" w:hAnsi="Times New Roman" w:cs="Times New Roman"/>
          <w:sz w:val="24"/>
        </w:rPr>
        <w:t>Sainamole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Kurian</w:t>
      </w:r>
      <w:proofErr w:type="spellEnd"/>
      <w:r>
        <w:rPr>
          <w:rFonts w:ascii="Times New Roman" w:hAnsi="Times New Roman" w:cs="Times New Roman"/>
          <w:sz w:val="24"/>
        </w:rPr>
        <w:t xml:space="preserve">, D. </w:t>
      </w:r>
      <w:proofErr w:type="spellStart"/>
      <w:r>
        <w:rPr>
          <w:rFonts w:ascii="Times New Roman" w:hAnsi="Times New Roman" w:cs="Times New Roman"/>
          <w:sz w:val="24"/>
        </w:rPr>
        <w:t>Girija</w:t>
      </w:r>
      <w:proofErr w:type="spellEnd"/>
      <w:r>
        <w:rPr>
          <w:rFonts w:ascii="Times New Roman" w:hAnsi="Times New Roman" w:cs="Times New Roman"/>
          <w:sz w:val="24"/>
        </w:rPr>
        <w:t xml:space="preserve">, K. Anita </w:t>
      </w:r>
      <w:proofErr w:type="spellStart"/>
      <w:r>
        <w:rPr>
          <w:rFonts w:ascii="Times New Roman" w:hAnsi="Times New Roman" w:cs="Times New Roman"/>
          <w:sz w:val="24"/>
        </w:rPr>
        <w:t>Cherian</w:t>
      </w:r>
      <w:proofErr w:type="spellEnd"/>
      <w:r>
        <w:rPr>
          <w:rFonts w:ascii="Times New Roman" w:hAnsi="Times New Roman" w:cs="Times New Roman"/>
          <w:sz w:val="24"/>
        </w:rPr>
        <w:t xml:space="preserve"> and C. </w:t>
      </w:r>
      <w:proofErr w:type="spellStart"/>
      <w:r>
        <w:rPr>
          <w:rFonts w:ascii="Times New Roman" w:hAnsi="Times New Roman" w:cs="Times New Roman"/>
          <w:sz w:val="24"/>
        </w:rPr>
        <w:t>Narayanankutty</w:t>
      </w:r>
      <w:proofErr w:type="spellEnd"/>
    </w:p>
    <w:p w:rsidR="008F6C13" w:rsidRPr="008F6C13" w:rsidRDefault="008F6C13" w:rsidP="008F6C13">
      <w:pPr>
        <w:rPr>
          <w:rFonts w:ascii="Times New Roman" w:hAnsi="Times New Roman" w:cs="Times New Roman"/>
        </w:rPr>
      </w:pPr>
      <w:r w:rsidRPr="008F6C13">
        <w:rPr>
          <w:rFonts w:ascii="Times New Roman" w:hAnsi="Times New Roman" w:cs="Times New Roman"/>
        </w:rPr>
        <w:t>Kerala Agricultural University, India</w:t>
      </w:r>
    </w:p>
    <w:p w:rsidR="008F6C13" w:rsidRPr="008F6C13" w:rsidRDefault="008F6C13" w:rsidP="008F6C13">
      <w:pPr>
        <w:jc w:val="center"/>
        <w:rPr>
          <w:rFonts w:ascii="Times New Roman" w:hAnsi="Times New Roman" w:cs="Times New Roman"/>
          <w:b/>
          <w:sz w:val="24"/>
        </w:rPr>
      </w:pPr>
      <w:r w:rsidRPr="008F6C13">
        <w:rPr>
          <w:rFonts w:ascii="Times New Roman" w:hAnsi="Times New Roman" w:cs="Times New Roman"/>
          <w:b/>
          <w:sz w:val="24"/>
        </w:rPr>
        <w:t>Abstract</w:t>
      </w:r>
    </w:p>
    <w:p w:rsidR="008F6C13" w:rsidRDefault="008F6C13" w:rsidP="008F6C13">
      <w:pPr>
        <w:pStyle w:val="Default"/>
        <w:spacing w:after="200" w:line="276" w:lineRule="auto"/>
        <w:jc w:val="both"/>
        <w:rPr>
          <w:color w:val="auto"/>
          <w:sz w:val="20"/>
          <w:szCs w:val="18"/>
          <w:lang w:val="en-US"/>
        </w:rPr>
      </w:pPr>
      <w:r w:rsidRPr="008F6C13">
        <w:rPr>
          <w:color w:val="auto"/>
          <w:sz w:val="20"/>
          <w:szCs w:val="18"/>
        </w:rPr>
        <w:t>Tomato (</w:t>
      </w:r>
      <w:proofErr w:type="spellStart"/>
      <w:r w:rsidRPr="008F6C13">
        <w:rPr>
          <w:i/>
          <w:iCs/>
          <w:color w:val="auto"/>
          <w:sz w:val="20"/>
          <w:szCs w:val="18"/>
        </w:rPr>
        <w:t>Solanum</w:t>
      </w:r>
      <w:proofErr w:type="spellEnd"/>
      <w:r w:rsidRPr="008F6C13">
        <w:rPr>
          <w:i/>
          <w:iCs/>
          <w:color w:val="auto"/>
          <w:sz w:val="20"/>
          <w:szCs w:val="18"/>
        </w:rPr>
        <w:t xml:space="preserve"> </w:t>
      </w:r>
      <w:proofErr w:type="spellStart"/>
      <w:r w:rsidRPr="008F6C13">
        <w:rPr>
          <w:i/>
          <w:iCs/>
          <w:color w:val="auto"/>
          <w:sz w:val="20"/>
          <w:szCs w:val="18"/>
        </w:rPr>
        <w:t>lycopersicum</w:t>
      </w:r>
      <w:proofErr w:type="spellEnd"/>
      <w:r w:rsidRPr="008F6C13">
        <w:rPr>
          <w:i/>
          <w:iCs/>
          <w:color w:val="auto"/>
          <w:sz w:val="20"/>
          <w:szCs w:val="18"/>
        </w:rPr>
        <w:t xml:space="preserve"> </w:t>
      </w:r>
      <w:r w:rsidRPr="008F6C13">
        <w:rPr>
          <w:color w:val="auto"/>
          <w:sz w:val="20"/>
          <w:szCs w:val="18"/>
        </w:rPr>
        <w:t xml:space="preserve">L.) is one of the most common and widely grown vegetable </w:t>
      </w:r>
      <w:r w:rsidRPr="008F6C13">
        <w:rPr>
          <w:color w:val="auto"/>
          <w:sz w:val="20"/>
          <w:szCs w:val="18"/>
        </w:rPr>
        <w:t>crops</w:t>
      </w:r>
      <w:r w:rsidRPr="008F6C13">
        <w:rPr>
          <w:color w:val="auto"/>
          <w:sz w:val="20"/>
          <w:szCs w:val="18"/>
        </w:rPr>
        <w:t xml:space="preserve"> in the world. </w:t>
      </w:r>
      <w:r w:rsidRPr="008F6C13">
        <w:rPr>
          <w:color w:val="auto"/>
          <w:sz w:val="20"/>
          <w:szCs w:val="18"/>
          <w:shd w:val="clear" w:color="auto" w:fill="FFFFFF"/>
        </w:rPr>
        <w:t>In fact, it is the fifth most important cultivated crop, occupying an area of 4.8 million hectares with a production of 125.4 million tonnes.</w:t>
      </w:r>
      <w:r w:rsidRPr="008F6C13">
        <w:rPr>
          <w:rFonts w:ascii="Arial" w:hAnsi="Arial" w:cs="Arial"/>
          <w:color w:val="auto"/>
          <w:sz w:val="20"/>
          <w:szCs w:val="18"/>
          <w:shd w:val="clear" w:color="auto" w:fill="FFFFFF"/>
        </w:rPr>
        <w:t xml:space="preserve"> </w:t>
      </w:r>
      <w:r w:rsidRPr="008F6C13">
        <w:rPr>
          <w:color w:val="auto"/>
          <w:sz w:val="20"/>
          <w:szCs w:val="18"/>
          <w:shd w:val="clear" w:color="auto" w:fill="FFFFFF"/>
        </w:rPr>
        <w:t xml:space="preserve">Tomato yield is limited by several fungal, bacterial, and viral diseases. Among the fungal diseases, early blight caused by </w:t>
      </w:r>
      <w:proofErr w:type="spellStart"/>
      <w:r w:rsidRPr="008F6C13">
        <w:rPr>
          <w:i/>
          <w:iCs/>
          <w:color w:val="auto"/>
          <w:sz w:val="20"/>
          <w:szCs w:val="18"/>
          <w:shd w:val="clear" w:color="auto" w:fill="FFFFFF"/>
        </w:rPr>
        <w:t>Alternaria</w:t>
      </w:r>
      <w:proofErr w:type="spellEnd"/>
      <w:r w:rsidRPr="008F6C13">
        <w:rPr>
          <w:i/>
          <w:iCs/>
          <w:color w:val="auto"/>
          <w:sz w:val="20"/>
          <w:szCs w:val="18"/>
          <w:shd w:val="clear" w:color="auto" w:fill="FFFFFF"/>
        </w:rPr>
        <w:t xml:space="preserve"> </w:t>
      </w:r>
      <w:proofErr w:type="spellStart"/>
      <w:r w:rsidRPr="008F6C13">
        <w:rPr>
          <w:i/>
          <w:iCs/>
          <w:color w:val="auto"/>
          <w:sz w:val="20"/>
          <w:szCs w:val="18"/>
          <w:shd w:val="clear" w:color="auto" w:fill="FFFFFF"/>
        </w:rPr>
        <w:t>solani</w:t>
      </w:r>
      <w:proofErr w:type="spellEnd"/>
      <w:r w:rsidRPr="008F6C13">
        <w:rPr>
          <w:color w:val="auto"/>
          <w:sz w:val="20"/>
          <w:szCs w:val="18"/>
          <w:shd w:val="clear" w:color="auto" w:fill="FFFFFF"/>
        </w:rPr>
        <w:t xml:space="preserve"> is the most common and destructive disease widespread in tropical, subtropical, and temperate regions. </w:t>
      </w:r>
      <w:r w:rsidRPr="008F6C13">
        <w:rPr>
          <w:color w:val="auto"/>
          <w:sz w:val="20"/>
          <w:szCs w:val="18"/>
        </w:rPr>
        <w:t>It is in</w:t>
      </w:r>
      <w:bookmarkStart w:id="1" w:name="_GoBack"/>
      <w:bookmarkEnd w:id="1"/>
      <w:r w:rsidRPr="008F6C13">
        <w:rPr>
          <w:color w:val="auto"/>
          <w:sz w:val="20"/>
          <w:szCs w:val="18"/>
        </w:rPr>
        <w:t xml:space="preserve">creasingly becoming a limiting factor for successful cultivation of tomato and causes yield loss in the range of 15–100%. </w:t>
      </w:r>
      <w:r w:rsidRPr="008F6C13">
        <w:rPr>
          <w:color w:val="auto"/>
          <w:sz w:val="20"/>
          <w:szCs w:val="18"/>
          <w:lang w:val="en-US"/>
        </w:rPr>
        <w:t>Fungicides are commonly used to manage plant pathogens. However, little is known about their effects on the non</w:t>
      </w:r>
      <w:r>
        <w:rPr>
          <w:color w:val="auto"/>
          <w:sz w:val="20"/>
          <w:szCs w:val="18"/>
          <w:lang w:val="en-US"/>
        </w:rPr>
        <w:t>-</w:t>
      </w:r>
      <w:r w:rsidRPr="008F6C13">
        <w:rPr>
          <w:color w:val="auto"/>
          <w:sz w:val="20"/>
          <w:szCs w:val="18"/>
          <w:lang w:val="en-US"/>
        </w:rPr>
        <w:t xml:space="preserve">target fungal communities that inhabit inside and outside the plant. These fungicides may have adverse effects on beneficial microbial communities with possible consequences for plant health and productivity. Hence, an </w:t>
      </w:r>
      <w:proofErr w:type="spellStart"/>
      <w:r w:rsidRPr="008F6C13">
        <w:rPr>
          <w:color w:val="auto"/>
          <w:sz w:val="20"/>
          <w:szCs w:val="18"/>
          <w:lang w:val="en-US"/>
        </w:rPr>
        <w:t>amplicon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</w:t>
      </w:r>
      <w:proofErr w:type="spellStart"/>
      <w:r w:rsidRPr="008F6C13">
        <w:rPr>
          <w:color w:val="auto"/>
          <w:sz w:val="20"/>
          <w:szCs w:val="18"/>
          <w:lang w:val="en-US"/>
        </w:rPr>
        <w:t>metagenomic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approach based on the ITS2 region of fungal </w:t>
      </w:r>
      <w:proofErr w:type="spellStart"/>
      <w:r w:rsidRPr="008F6C13">
        <w:rPr>
          <w:color w:val="auto"/>
          <w:sz w:val="20"/>
          <w:szCs w:val="18"/>
          <w:lang w:val="en-US"/>
        </w:rPr>
        <w:t>rDNA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on the </w:t>
      </w:r>
      <w:proofErr w:type="spellStart"/>
      <w:r w:rsidRPr="008F6C13">
        <w:rPr>
          <w:color w:val="auto"/>
          <w:sz w:val="20"/>
          <w:szCs w:val="18"/>
          <w:lang w:val="en-US"/>
        </w:rPr>
        <w:t>MiSeq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</w:t>
      </w:r>
      <w:proofErr w:type="spellStart"/>
      <w:r w:rsidRPr="008F6C13">
        <w:rPr>
          <w:color w:val="auto"/>
          <w:sz w:val="20"/>
          <w:szCs w:val="18"/>
          <w:lang w:val="en-US"/>
        </w:rPr>
        <w:t>Illumina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platform was used to study the impact of foliar application of two fungicides, viz</w:t>
      </w:r>
      <w:r w:rsidRPr="008F6C13">
        <w:rPr>
          <w:i/>
          <w:iCs/>
          <w:color w:val="auto"/>
          <w:sz w:val="20"/>
          <w:szCs w:val="18"/>
          <w:lang w:val="en-US"/>
        </w:rPr>
        <w:t>.</w:t>
      </w:r>
      <w:r w:rsidR="003F3ED0">
        <w:rPr>
          <w:color w:val="auto"/>
          <w:sz w:val="20"/>
          <w:szCs w:val="18"/>
          <w:lang w:val="en-US"/>
        </w:rPr>
        <w:t xml:space="preserve"> </w:t>
      </w:r>
      <w:proofErr w:type="spellStart"/>
      <w:r w:rsidR="003F3ED0">
        <w:rPr>
          <w:color w:val="auto"/>
          <w:sz w:val="20"/>
          <w:szCs w:val="18"/>
          <w:lang w:val="en-US"/>
        </w:rPr>
        <w:t>propineb</w:t>
      </w:r>
      <w:proofErr w:type="spellEnd"/>
      <w:r w:rsidR="003F3ED0">
        <w:rPr>
          <w:color w:val="auto"/>
          <w:sz w:val="20"/>
          <w:szCs w:val="18"/>
          <w:lang w:val="en-US"/>
        </w:rPr>
        <w:t xml:space="preserve"> and </w:t>
      </w:r>
      <w:proofErr w:type="spellStart"/>
      <w:r w:rsidR="003F3ED0">
        <w:rPr>
          <w:color w:val="auto"/>
          <w:sz w:val="20"/>
          <w:szCs w:val="18"/>
          <w:lang w:val="en-US"/>
        </w:rPr>
        <w:t>iprodione+</w:t>
      </w:r>
      <w:r w:rsidRPr="008F6C13">
        <w:rPr>
          <w:color w:val="auto"/>
          <w:sz w:val="20"/>
          <w:szCs w:val="18"/>
          <w:lang w:val="en-US"/>
        </w:rPr>
        <w:t>carbendazim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on non</w:t>
      </w:r>
      <w:r w:rsidR="003F3ED0">
        <w:rPr>
          <w:color w:val="auto"/>
          <w:sz w:val="20"/>
          <w:szCs w:val="18"/>
          <w:lang w:val="en-US"/>
        </w:rPr>
        <w:t>-</w:t>
      </w:r>
      <w:r w:rsidRPr="008F6C13">
        <w:rPr>
          <w:color w:val="auto"/>
          <w:sz w:val="20"/>
          <w:szCs w:val="18"/>
          <w:lang w:val="en-US"/>
        </w:rPr>
        <w:t xml:space="preserve">target tomato leaf fungal communities in the context of early blight disease management. </w:t>
      </w:r>
      <w:proofErr w:type="spellStart"/>
      <w:r w:rsidRPr="008F6C13">
        <w:rPr>
          <w:color w:val="auto"/>
          <w:sz w:val="20"/>
          <w:szCs w:val="18"/>
          <w:lang w:val="en-US"/>
        </w:rPr>
        <w:t>Metagenomic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analysis revealed that the richness and diversity of tomato leaf fungal populations were adversely affected by the chemical treatments tested. Among the two fungicides, foliar application of contact fungicide </w:t>
      </w:r>
      <w:proofErr w:type="spellStart"/>
      <w:r w:rsidRPr="008F6C13">
        <w:rPr>
          <w:color w:val="auto"/>
          <w:sz w:val="20"/>
          <w:szCs w:val="18"/>
          <w:lang w:val="en-US"/>
        </w:rPr>
        <w:t>propineb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imparted less non</w:t>
      </w:r>
      <w:r>
        <w:rPr>
          <w:color w:val="auto"/>
          <w:sz w:val="20"/>
          <w:szCs w:val="18"/>
          <w:lang w:val="en-US"/>
        </w:rPr>
        <w:t>-</w:t>
      </w:r>
      <w:r w:rsidRPr="008F6C13">
        <w:rPr>
          <w:color w:val="auto"/>
          <w:sz w:val="20"/>
          <w:szCs w:val="18"/>
          <w:lang w:val="en-US"/>
        </w:rPr>
        <w:t>targeted effects than the</w:t>
      </w:r>
      <w:r>
        <w:rPr>
          <w:color w:val="auto"/>
          <w:sz w:val="20"/>
          <w:szCs w:val="18"/>
          <w:lang w:val="en-US"/>
        </w:rPr>
        <w:t xml:space="preserve"> systemic fungicide </w:t>
      </w:r>
      <w:proofErr w:type="spellStart"/>
      <w:r>
        <w:rPr>
          <w:color w:val="auto"/>
          <w:sz w:val="20"/>
          <w:szCs w:val="18"/>
          <w:lang w:val="en-US"/>
        </w:rPr>
        <w:t>iprodione+</w:t>
      </w:r>
      <w:r w:rsidRPr="008F6C13">
        <w:rPr>
          <w:color w:val="auto"/>
          <w:sz w:val="20"/>
          <w:szCs w:val="18"/>
          <w:lang w:val="en-US"/>
        </w:rPr>
        <w:t>carbendazim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. In addition, all samples showed association of pathogenic genera </w:t>
      </w:r>
      <w:proofErr w:type="spellStart"/>
      <w:r w:rsidRPr="008F6C13">
        <w:rPr>
          <w:i/>
          <w:iCs/>
          <w:color w:val="auto"/>
          <w:sz w:val="20"/>
          <w:szCs w:val="18"/>
          <w:lang w:val="en-US"/>
        </w:rPr>
        <w:t>Cladosporium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, </w:t>
      </w:r>
      <w:proofErr w:type="spellStart"/>
      <w:r w:rsidRPr="008F6C13">
        <w:rPr>
          <w:i/>
          <w:iCs/>
          <w:color w:val="auto"/>
          <w:sz w:val="20"/>
          <w:szCs w:val="18"/>
          <w:lang w:val="en-US"/>
        </w:rPr>
        <w:t>Corynespora</w:t>
      </w:r>
      <w:proofErr w:type="spellEnd"/>
      <w:r w:rsidRPr="008F6C13">
        <w:rPr>
          <w:color w:val="auto"/>
          <w:sz w:val="20"/>
          <w:szCs w:val="18"/>
          <w:lang w:val="en-US"/>
        </w:rPr>
        <w:t>,</w:t>
      </w:r>
      <w:r w:rsidRPr="008F6C13">
        <w:rPr>
          <w:i/>
          <w:iCs/>
          <w:color w:val="auto"/>
          <w:sz w:val="20"/>
          <w:szCs w:val="18"/>
          <w:lang w:val="en-US"/>
        </w:rPr>
        <w:t xml:space="preserve"> </w:t>
      </w:r>
      <w:proofErr w:type="spellStart"/>
      <w:r w:rsidRPr="008F6C13">
        <w:rPr>
          <w:i/>
          <w:iCs/>
          <w:color w:val="auto"/>
          <w:sz w:val="20"/>
          <w:szCs w:val="18"/>
          <w:lang w:val="en-US"/>
        </w:rPr>
        <w:t>Pseudocercospora</w:t>
      </w:r>
      <w:proofErr w:type="spellEnd"/>
      <w:r w:rsidRPr="008F6C13">
        <w:rPr>
          <w:i/>
          <w:iCs/>
          <w:color w:val="auto"/>
          <w:sz w:val="20"/>
          <w:szCs w:val="18"/>
          <w:lang w:val="en-US"/>
        </w:rPr>
        <w:t xml:space="preserve"> </w:t>
      </w:r>
      <w:r w:rsidRPr="008F6C13">
        <w:rPr>
          <w:color w:val="auto"/>
          <w:sz w:val="20"/>
          <w:szCs w:val="18"/>
          <w:lang w:val="en-US"/>
        </w:rPr>
        <w:t xml:space="preserve">along with early blight pathogen </w:t>
      </w:r>
      <w:proofErr w:type="spellStart"/>
      <w:r w:rsidRPr="008F6C13">
        <w:rPr>
          <w:i/>
          <w:iCs/>
          <w:color w:val="auto"/>
          <w:sz w:val="20"/>
          <w:szCs w:val="18"/>
          <w:lang w:val="en-US"/>
        </w:rPr>
        <w:t>Alternaria</w:t>
      </w:r>
      <w:proofErr w:type="spellEnd"/>
      <w:r w:rsidRPr="008F6C13">
        <w:rPr>
          <w:i/>
          <w:iCs/>
          <w:color w:val="auto"/>
          <w:sz w:val="20"/>
          <w:szCs w:val="18"/>
          <w:lang w:val="en-US"/>
        </w:rPr>
        <w:t xml:space="preserve"> </w:t>
      </w:r>
      <w:r w:rsidRPr="008F6C13">
        <w:rPr>
          <w:color w:val="auto"/>
          <w:sz w:val="20"/>
          <w:szCs w:val="18"/>
          <w:lang w:val="en-US"/>
        </w:rPr>
        <w:t xml:space="preserve">on tomato leaves that otherwise remain undetected. </w:t>
      </w:r>
      <w:proofErr w:type="spellStart"/>
      <w:r w:rsidRPr="008F6C13">
        <w:rPr>
          <w:color w:val="auto"/>
          <w:sz w:val="20"/>
          <w:szCs w:val="18"/>
          <w:lang w:val="en-US"/>
        </w:rPr>
        <w:t>Metagenomic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studies also revealed a new mode of action for fungicides and </w:t>
      </w:r>
      <w:proofErr w:type="spellStart"/>
      <w:r w:rsidRPr="008F6C13">
        <w:rPr>
          <w:color w:val="auto"/>
          <w:sz w:val="20"/>
          <w:szCs w:val="18"/>
          <w:lang w:val="en-US"/>
        </w:rPr>
        <w:t>bioagents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besides their direct effect that is shifting the microbial community structure so that it provides greater resistance against the pathogen</w:t>
      </w:r>
      <w:r w:rsidR="005B1085">
        <w:rPr>
          <w:color w:val="auto"/>
          <w:sz w:val="20"/>
          <w:szCs w:val="18"/>
          <w:lang w:val="en-US"/>
        </w:rPr>
        <w:t xml:space="preserve"> [Figure 1]</w:t>
      </w:r>
      <w:r w:rsidRPr="008F6C13">
        <w:rPr>
          <w:color w:val="auto"/>
          <w:sz w:val="20"/>
          <w:szCs w:val="18"/>
          <w:lang w:val="en-US"/>
        </w:rPr>
        <w:t>.</w:t>
      </w:r>
    </w:p>
    <w:p w:rsidR="008F6C13" w:rsidRDefault="008F6C13" w:rsidP="008F6C13">
      <w:pPr>
        <w:pStyle w:val="Default"/>
        <w:spacing w:after="200" w:line="276" w:lineRule="auto"/>
        <w:jc w:val="center"/>
        <w:rPr>
          <w:color w:val="auto"/>
          <w:sz w:val="20"/>
          <w:szCs w:val="18"/>
          <w:lang w:val="en-US"/>
        </w:rPr>
      </w:pPr>
      <w:r>
        <w:rPr>
          <w:noProof/>
          <w:color w:val="auto"/>
          <w:sz w:val="20"/>
          <w:szCs w:val="18"/>
          <w:lang w:val="en-US"/>
        </w:rPr>
        <w:drawing>
          <wp:inline distT="0" distB="0" distL="0" distR="0" wp14:anchorId="67027AC2">
            <wp:extent cx="3645535" cy="296291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5535" cy="2962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F6C13" w:rsidRPr="005B1085" w:rsidRDefault="008F6C13" w:rsidP="008F6C13">
      <w:pPr>
        <w:pStyle w:val="Default"/>
        <w:spacing w:after="200" w:line="276" w:lineRule="auto"/>
        <w:jc w:val="center"/>
        <w:rPr>
          <w:i/>
          <w:color w:val="auto"/>
          <w:sz w:val="18"/>
          <w:szCs w:val="18"/>
          <w:lang w:val="en-US"/>
        </w:rPr>
      </w:pPr>
      <w:proofErr w:type="gramStart"/>
      <w:r w:rsidRPr="005B1085">
        <w:rPr>
          <w:b/>
          <w:i/>
          <w:color w:val="auto"/>
          <w:sz w:val="18"/>
          <w:szCs w:val="18"/>
          <w:lang w:val="en-US"/>
        </w:rPr>
        <w:t>Figure 1.</w:t>
      </w:r>
      <w:proofErr w:type="gramEnd"/>
      <w:r w:rsidR="005B1085" w:rsidRPr="005B1085">
        <w:rPr>
          <w:i/>
          <w:color w:val="auto"/>
          <w:sz w:val="18"/>
          <w:szCs w:val="18"/>
          <w:lang w:val="en-US"/>
        </w:rPr>
        <w:t xml:space="preserve"> Impact of foliar application of fungicides on tomato leaf fungal community structure revealed by </w:t>
      </w:r>
      <w:proofErr w:type="spellStart"/>
      <w:r w:rsidR="005B1085" w:rsidRPr="005B1085">
        <w:rPr>
          <w:i/>
          <w:color w:val="auto"/>
          <w:sz w:val="18"/>
          <w:szCs w:val="18"/>
          <w:lang w:val="en-US"/>
        </w:rPr>
        <w:t>metagenomic</w:t>
      </w:r>
      <w:proofErr w:type="spellEnd"/>
      <w:r w:rsidR="005B1085" w:rsidRPr="005B1085">
        <w:rPr>
          <w:i/>
          <w:color w:val="auto"/>
          <w:sz w:val="18"/>
          <w:szCs w:val="18"/>
          <w:lang w:val="en-US"/>
        </w:rPr>
        <w:t xml:space="preserve"> analysis</w:t>
      </w:r>
    </w:p>
    <w:p w:rsidR="008F6C13" w:rsidRPr="008F6C13" w:rsidRDefault="008F6C13" w:rsidP="008F6C13">
      <w:pPr>
        <w:pStyle w:val="Default"/>
        <w:spacing w:after="200" w:line="276" w:lineRule="auto"/>
        <w:rPr>
          <w:b/>
          <w:color w:val="auto"/>
          <w:szCs w:val="18"/>
          <w:lang w:val="en-US"/>
        </w:rPr>
      </w:pPr>
      <w:r w:rsidRPr="008F6C13">
        <w:rPr>
          <w:b/>
          <w:color w:val="auto"/>
          <w:szCs w:val="18"/>
          <w:lang w:val="en-US"/>
        </w:rPr>
        <w:lastRenderedPageBreak/>
        <w:t>Biography</w:t>
      </w:r>
    </w:p>
    <w:p w:rsidR="008F6C13" w:rsidRPr="008F6C13" w:rsidRDefault="008F6C13" w:rsidP="003F3ED0">
      <w:pPr>
        <w:pStyle w:val="Default"/>
        <w:spacing w:after="200" w:line="276" w:lineRule="auto"/>
        <w:jc w:val="both"/>
      </w:pPr>
      <w:r w:rsidRPr="008F6C13">
        <w:rPr>
          <w:color w:val="auto"/>
          <w:sz w:val="20"/>
          <w:szCs w:val="18"/>
          <w:lang w:val="en-US"/>
        </w:rPr>
        <w:t xml:space="preserve">V. </w:t>
      </w:r>
      <w:proofErr w:type="spellStart"/>
      <w:r w:rsidRPr="008F6C13">
        <w:rPr>
          <w:color w:val="auto"/>
          <w:sz w:val="20"/>
          <w:szCs w:val="18"/>
          <w:lang w:val="en-US"/>
        </w:rPr>
        <w:t>Sumbula</w:t>
      </w:r>
      <w:proofErr w:type="spellEnd"/>
      <w:r>
        <w:rPr>
          <w:color w:val="auto"/>
          <w:sz w:val="20"/>
          <w:szCs w:val="18"/>
          <w:lang w:val="en-US"/>
        </w:rPr>
        <w:t>,</w:t>
      </w:r>
      <w:r w:rsidRPr="008F6C13">
        <w:rPr>
          <w:color w:val="auto"/>
          <w:sz w:val="20"/>
          <w:szCs w:val="18"/>
          <w:lang w:val="en-US"/>
        </w:rPr>
        <w:t xml:space="preserve"> I am passionate about microbial community structure and their interaction with various micro and macro environment.</w:t>
      </w:r>
      <w:r w:rsidR="003F3ED0">
        <w:rPr>
          <w:color w:val="auto"/>
          <w:sz w:val="20"/>
          <w:szCs w:val="18"/>
          <w:lang w:val="en-US"/>
        </w:rPr>
        <w:t xml:space="preserve"> </w:t>
      </w:r>
      <w:r w:rsidRPr="008F6C13">
        <w:rPr>
          <w:color w:val="auto"/>
          <w:sz w:val="20"/>
          <w:szCs w:val="18"/>
          <w:lang w:val="en-US"/>
        </w:rPr>
        <w:t xml:space="preserve">My six years of study on plant pathology and practical field work experience have strongly confirmed microbial biodiversity and </w:t>
      </w:r>
      <w:proofErr w:type="spellStart"/>
      <w:r w:rsidRPr="008F6C13">
        <w:rPr>
          <w:color w:val="auto"/>
          <w:sz w:val="20"/>
          <w:szCs w:val="18"/>
          <w:lang w:val="en-US"/>
        </w:rPr>
        <w:t>tritrophic</w:t>
      </w:r>
      <w:proofErr w:type="spellEnd"/>
      <w:r w:rsidRPr="008F6C13">
        <w:rPr>
          <w:color w:val="auto"/>
          <w:sz w:val="20"/>
          <w:szCs w:val="18"/>
          <w:lang w:val="en-US"/>
        </w:rPr>
        <w:t xml:space="preserve"> intera</w:t>
      </w:r>
      <w:r>
        <w:rPr>
          <w:color w:val="auto"/>
          <w:sz w:val="20"/>
          <w:szCs w:val="18"/>
          <w:lang w:val="en-US"/>
        </w:rPr>
        <w:t>ction between plant-pathogens-</w:t>
      </w:r>
      <w:r w:rsidRPr="008F6C13">
        <w:rPr>
          <w:color w:val="auto"/>
          <w:sz w:val="20"/>
          <w:szCs w:val="18"/>
          <w:lang w:val="en-US"/>
        </w:rPr>
        <w:t>beneficial microbes as research career choice for me. I am now looking forward to pursue research focused on my passion to explore more on the subject.</w:t>
      </w:r>
    </w:p>
    <w:sectPr w:rsidR="008F6C13" w:rsidRPr="008F6C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8-26T16:45:00Z" w:initials="SS">
    <w:p w:rsidR="0027787B" w:rsidRDefault="0027787B">
      <w:pPr>
        <w:pStyle w:val="CommentText"/>
      </w:pPr>
      <w:r>
        <w:rPr>
          <w:rStyle w:val="CommentReference"/>
        </w:rPr>
        <w:annotationRef/>
      </w:r>
      <w:r>
        <w:t>Already published. Please find the below links for your reference.</w:t>
      </w:r>
    </w:p>
    <w:p w:rsidR="0027787B" w:rsidRDefault="0027787B">
      <w:pPr>
        <w:pStyle w:val="CommentText"/>
      </w:pPr>
    </w:p>
    <w:p w:rsidR="0027787B" w:rsidRDefault="0027787B" w:rsidP="0027787B">
      <w:pPr>
        <w:pStyle w:val="CommentText"/>
        <w:numPr>
          <w:ilvl w:val="0"/>
          <w:numId w:val="1"/>
        </w:numPr>
      </w:pPr>
      <w:hyperlink r:id="rId1" w:history="1">
        <w:r w:rsidRPr="0016149C">
          <w:rPr>
            <w:rStyle w:val="Hyperlink"/>
          </w:rPr>
          <w:t>https://link.springer.com/article/10.1007/s12223-021-00920-x</w:t>
        </w:r>
      </w:hyperlink>
    </w:p>
    <w:p w:rsidR="0027787B" w:rsidRDefault="0027787B" w:rsidP="0027787B">
      <w:pPr>
        <w:pStyle w:val="CommentText"/>
        <w:numPr>
          <w:ilvl w:val="0"/>
          <w:numId w:val="1"/>
        </w:numPr>
      </w:pPr>
      <w:hyperlink r:id="rId2" w:history="1">
        <w:r w:rsidRPr="0016149C">
          <w:rPr>
            <w:rStyle w:val="Hyperlink"/>
          </w:rPr>
          <w:t>https://pubmed.ncbi.nlm.nih.gov/34554392/</w:t>
        </w:r>
      </w:hyperlink>
    </w:p>
    <w:p w:rsidR="0027787B" w:rsidRDefault="0027787B" w:rsidP="0027787B">
      <w:pPr>
        <w:pStyle w:val="CommentText"/>
      </w:pP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D5AA1"/>
    <w:multiLevelType w:val="hybridMultilevel"/>
    <w:tmpl w:val="B922F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C13"/>
    <w:rsid w:val="0027787B"/>
    <w:rsid w:val="003F3ED0"/>
    <w:rsid w:val="00474203"/>
    <w:rsid w:val="00535872"/>
    <w:rsid w:val="005B1085"/>
    <w:rsid w:val="008F6C13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C1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78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78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8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87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778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F6C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C1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778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78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78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8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87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778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med.ncbi.nlm.nih.gov/34554392/" TargetMode="External"/><Relationship Id="rId1" Type="http://schemas.openxmlformats.org/officeDocument/2006/relationships/hyperlink" Target="https://link.springer.com/article/10.1007/s12223-021-00920-x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3</cp:revision>
  <dcterms:created xsi:type="dcterms:W3CDTF">2022-08-26T09:25:00Z</dcterms:created>
  <dcterms:modified xsi:type="dcterms:W3CDTF">2022-08-26T11:15:00Z</dcterms:modified>
</cp:coreProperties>
</file>