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6636A3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6636A3">
        <w:rPr>
          <w:rFonts w:ascii="Times New Roman" w:hAnsi="Times New Roman" w:cs="Times New Roman"/>
          <w:b/>
          <w:sz w:val="32"/>
        </w:rPr>
        <w:t xml:space="preserve">Impact of foliar application of fungicides on tomato leaf fungal community structure revealed by </w:t>
      </w:r>
      <w:proofErr w:type="spellStart"/>
      <w:r w:rsidRPr="006636A3">
        <w:rPr>
          <w:rFonts w:ascii="Times New Roman" w:hAnsi="Times New Roman" w:cs="Times New Roman"/>
          <w:b/>
          <w:sz w:val="32"/>
        </w:rPr>
        <w:t>metagenomic</w:t>
      </w:r>
      <w:proofErr w:type="spellEnd"/>
      <w:r w:rsidRPr="006636A3">
        <w:rPr>
          <w:rFonts w:ascii="Times New Roman" w:hAnsi="Times New Roman" w:cs="Times New Roman"/>
          <w:b/>
          <w:sz w:val="32"/>
        </w:rPr>
        <w:t xml:space="preserve"> analysis</w:t>
      </w:r>
    </w:p>
    <w:p w:rsidR="006636A3" w:rsidRDefault="006636A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sz w:val="24"/>
        </w:rPr>
        <w:t>Sumbula</w:t>
      </w:r>
      <w:proofErr w:type="spellEnd"/>
      <w:r>
        <w:rPr>
          <w:rFonts w:ascii="Times New Roman" w:hAnsi="Times New Roman" w:cs="Times New Roman"/>
          <w:sz w:val="24"/>
        </w:rPr>
        <w:t xml:space="preserve">*, P </w:t>
      </w:r>
      <w:proofErr w:type="spellStart"/>
      <w:r>
        <w:rPr>
          <w:rFonts w:ascii="Times New Roman" w:hAnsi="Times New Roman" w:cs="Times New Roman"/>
          <w:sz w:val="24"/>
        </w:rPr>
        <w:t>Sainamole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Kurian</w:t>
      </w:r>
      <w:proofErr w:type="spellEnd"/>
      <w:r>
        <w:rPr>
          <w:rFonts w:ascii="Times New Roman" w:hAnsi="Times New Roman" w:cs="Times New Roman"/>
          <w:sz w:val="24"/>
        </w:rPr>
        <w:t xml:space="preserve">, D </w:t>
      </w:r>
      <w:proofErr w:type="spellStart"/>
      <w:r>
        <w:rPr>
          <w:rFonts w:ascii="Times New Roman" w:hAnsi="Times New Roman" w:cs="Times New Roman"/>
          <w:sz w:val="24"/>
        </w:rPr>
        <w:t>Girija</w:t>
      </w:r>
      <w:proofErr w:type="spellEnd"/>
      <w:r>
        <w:rPr>
          <w:rFonts w:ascii="Times New Roman" w:hAnsi="Times New Roman" w:cs="Times New Roman"/>
          <w:sz w:val="24"/>
        </w:rPr>
        <w:t xml:space="preserve">, K Anita </w:t>
      </w:r>
      <w:proofErr w:type="spellStart"/>
      <w:r>
        <w:rPr>
          <w:rFonts w:ascii="Times New Roman" w:hAnsi="Times New Roman" w:cs="Times New Roman"/>
          <w:sz w:val="24"/>
        </w:rPr>
        <w:t>Cherian</w:t>
      </w:r>
      <w:proofErr w:type="spellEnd"/>
      <w:r w:rsidR="003315E0">
        <w:rPr>
          <w:rFonts w:ascii="Times New Roman" w:hAnsi="Times New Roman" w:cs="Times New Roman"/>
          <w:sz w:val="24"/>
        </w:rPr>
        <w:t xml:space="preserve"> and</w:t>
      </w:r>
      <w:r w:rsidRPr="006636A3">
        <w:rPr>
          <w:rFonts w:ascii="Times New Roman" w:hAnsi="Times New Roman" w:cs="Times New Roman"/>
          <w:sz w:val="24"/>
        </w:rPr>
        <w:t xml:space="preserve"> C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Narayanankutty</w:t>
      </w:r>
      <w:proofErr w:type="spellEnd"/>
    </w:p>
    <w:p w:rsidR="006636A3" w:rsidRPr="006636A3" w:rsidRDefault="006636A3">
      <w:pPr>
        <w:rPr>
          <w:rFonts w:ascii="Times New Roman" w:hAnsi="Times New Roman" w:cs="Times New Roman"/>
        </w:rPr>
      </w:pPr>
      <w:r w:rsidRPr="006636A3">
        <w:rPr>
          <w:rFonts w:ascii="Times New Roman" w:hAnsi="Times New Roman" w:cs="Times New Roman"/>
        </w:rPr>
        <w:t>Kerala Agricultural University, India</w:t>
      </w:r>
    </w:p>
    <w:p w:rsidR="006636A3" w:rsidRPr="006636A3" w:rsidRDefault="006636A3" w:rsidP="006636A3">
      <w:pPr>
        <w:jc w:val="center"/>
        <w:rPr>
          <w:rFonts w:ascii="Times New Roman" w:hAnsi="Times New Roman" w:cs="Times New Roman"/>
          <w:b/>
          <w:sz w:val="24"/>
        </w:rPr>
      </w:pPr>
      <w:r w:rsidRPr="006636A3">
        <w:rPr>
          <w:rFonts w:ascii="Times New Roman" w:hAnsi="Times New Roman" w:cs="Times New Roman"/>
          <w:b/>
          <w:sz w:val="24"/>
        </w:rPr>
        <w:t>Abstract</w:t>
      </w:r>
    </w:p>
    <w:p w:rsidR="006636A3" w:rsidRDefault="006636A3" w:rsidP="006636A3">
      <w:pPr>
        <w:pStyle w:val="Default"/>
        <w:spacing w:after="200" w:line="276" w:lineRule="auto"/>
        <w:jc w:val="both"/>
        <w:rPr>
          <w:color w:val="auto"/>
          <w:sz w:val="20"/>
          <w:szCs w:val="18"/>
          <w:lang w:val="en-US"/>
        </w:rPr>
      </w:pPr>
      <w:r w:rsidRPr="006636A3">
        <w:rPr>
          <w:color w:val="auto"/>
          <w:sz w:val="20"/>
          <w:szCs w:val="18"/>
        </w:rPr>
        <w:t>Tomato (</w:t>
      </w:r>
      <w:proofErr w:type="spellStart"/>
      <w:r w:rsidRPr="006636A3">
        <w:rPr>
          <w:i/>
          <w:iCs/>
          <w:color w:val="auto"/>
          <w:sz w:val="20"/>
          <w:szCs w:val="18"/>
        </w:rPr>
        <w:t>Solanum</w:t>
      </w:r>
      <w:proofErr w:type="spellEnd"/>
      <w:r w:rsidRPr="006636A3">
        <w:rPr>
          <w:i/>
          <w:iCs/>
          <w:color w:val="auto"/>
          <w:sz w:val="20"/>
          <w:szCs w:val="18"/>
        </w:rPr>
        <w:t xml:space="preserve"> </w:t>
      </w:r>
      <w:proofErr w:type="spellStart"/>
      <w:r w:rsidRPr="006636A3">
        <w:rPr>
          <w:i/>
          <w:iCs/>
          <w:color w:val="auto"/>
          <w:sz w:val="20"/>
          <w:szCs w:val="18"/>
        </w:rPr>
        <w:t>lycopersicum</w:t>
      </w:r>
      <w:proofErr w:type="spellEnd"/>
      <w:r w:rsidRPr="006636A3">
        <w:rPr>
          <w:i/>
          <w:iCs/>
          <w:color w:val="auto"/>
          <w:sz w:val="20"/>
          <w:szCs w:val="18"/>
        </w:rPr>
        <w:t xml:space="preserve"> </w:t>
      </w:r>
      <w:r w:rsidRPr="006636A3">
        <w:rPr>
          <w:color w:val="auto"/>
          <w:sz w:val="20"/>
          <w:szCs w:val="18"/>
        </w:rPr>
        <w:t xml:space="preserve">L.) is one of the most common and widely grown vegetable </w:t>
      </w:r>
      <w:r w:rsidRPr="006636A3">
        <w:rPr>
          <w:color w:val="auto"/>
          <w:sz w:val="20"/>
          <w:szCs w:val="18"/>
        </w:rPr>
        <w:t>crops</w:t>
      </w:r>
      <w:r w:rsidRPr="006636A3">
        <w:rPr>
          <w:color w:val="auto"/>
          <w:sz w:val="20"/>
          <w:szCs w:val="18"/>
        </w:rPr>
        <w:t xml:space="preserve"> in the world. </w:t>
      </w:r>
      <w:r w:rsidRPr="006636A3">
        <w:rPr>
          <w:color w:val="auto"/>
          <w:sz w:val="20"/>
          <w:szCs w:val="18"/>
          <w:shd w:val="clear" w:color="auto" w:fill="FFFFFF"/>
        </w:rPr>
        <w:t>In fact, it is the fifth most important cultivated crop, occupying an area of 4.8 million hectares with a production of 125.4 million tonnes (FAO 2017).</w:t>
      </w:r>
      <w:r w:rsidRPr="006636A3">
        <w:rPr>
          <w:rFonts w:ascii="Arial" w:hAnsi="Arial" w:cs="Arial"/>
          <w:color w:val="auto"/>
          <w:sz w:val="20"/>
          <w:szCs w:val="18"/>
          <w:shd w:val="clear" w:color="auto" w:fill="FFFFFF"/>
        </w:rPr>
        <w:t xml:space="preserve"> </w:t>
      </w:r>
      <w:r w:rsidRPr="006636A3">
        <w:rPr>
          <w:color w:val="auto"/>
          <w:sz w:val="20"/>
          <w:szCs w:val="18"/>
          <w:shd w:val="clear" w:color="auto" w:fill="FFFFFF"/>
        </w:rPr>
        <w:t xml:space="preserve">Tomato yield is limited by several fungal, bacterial, and viral diseases. Among the fungal diseases, early blight caused by </w:t>
      </w:r>
      <w:proofErr w:type="spellStart"/>
      <w:r w:rsidRPr="006636A3">
        <w:rPr>
          <w:i/>
          <w:iCs/>
          <w:color w:val="auto"/>
          <w:sz w:val="20"/>
          <w:szCs w:val="18"/>
          <w:shd w:val="clear" w:color="auto" w:fill="FFFFFF"/>
        </w:rPr>
        <w:t>Alternaria</w:t>
      </w:r>
      <w:proofErr w:type="spellEnd"/>
      <w:r w:rsidRPr="006636A3">
        <w:rPr>
          <w:i/>
          <w:iCs/>
          <w:color w:val="auto"/>
          <w:sz w:val="20"/>
          <w:szCs w:val="18"/>
          <w:shd w:val="clear" w:color="auto" w:fill="FFFFFF"/>
        </w:rPr>
        <w:t xml:space="preserve"> </w:t>
      </w:r>
      <w:proofErr w:type="spellStart"/>
      <w:r w:rsidRPr="006636A3">
        <w:rPr>
          <w:i/>
          <w:iCs/>
          <w:color w:val="auto"/>
          <w:sz w:val="20"/>
          <w:szCs w:val="18"/>
          <w:shd w:val="clear" w:color="auto" w:fill="FFFFFF"/>
        </w:rPr>
        <w:t>solani</w:t>
      </w:r>
      <w:proofErr w:type="spellEnd"/>
      <w:r w:rsidRPr="006636A3">
        <w:rPr>
          <w:color w:val="auto"/>
          <w:sz w:val="20"/>
          <w:szCs w:val="18"/>
          <w:shd w:val="clear" w:color="auto" w:fill="FFFFFF"/>
        </w:rPr>
        <w:t xml:space="preserve"> is the most common and destructive disease widespread in tropical, subtropical, and temperate regions. </w:t>
      </w:r>
      <w:r w:rsidRPr="006636A3">
        <w:rPr>
          <w:color w:val="auto"/>
          <w:sz w:val="20"/>
          <w:szCs w:val="18"/>
        </w:rPr>
        <w:t>It is increasingly becoming a limiting factor for successful cultivation of tomato and causes yie</w:t>
      </w:r>
      <w:r>
        <w:rPr>
          <w:color w:val="auto"/>
          <w:sz w:val="20"/>
          <w:szCs w:val="18"/>
        </w:rPr>
        <w:t>ld loss in the range of 15–100%</w:t>
      </w:r>
      <w:r w:rsidRPr="006636A3">
        <w:rPr>
          <w:color w:val="auto"/>
          <w:sz w:val="20"/>
          <w:szCs w:val="18"/>
        </w:rPr>
        <w:t xml:space="preserve">. </w:t>
      </w:r>
      <w:r w:rsidRPr="006636A3">
        <w:rPr>
          <w:color w:val="auto"/>
          <w:sz w:val="20"/>
          <w:szCs w:val="18"/>
          <w:lang w:val="en-US"/>
        </w:rPr>
        <w:t>Fungicides are commonly used to manage plant pathogens. However, little is known about their effects on the non</w:t>
      </w:r>
      <w:r>
        <w:rPr>
          <w:color w:val="auto"/>
          <w:sz w:val="20"/>
          <w:szCs w:val="18"/>
          <w:lang w:val="en-US"/>
        </w:rPr>
        <w:t>-</w:t>
      </w:r>
      <w:r w:rsidRPr="006636A3">
        <w:rPr>
          <w:color w:val="auto"/>
          <w:sz w:val="20"/>
          <w:szCs w:val="18"/>
          <w:lang w:val="en-US"/>
        </w:rPr>
        <w:t xml:space="preserve">target fungal communities that inhabit inside and outside the plant. These fungicides may have adverse effects on beneficial microbial communities with possible consequences for plant health and productivity. Hence, an </w:t>
      </w:r>
      <w:proofErr w:type="spellStart"/>
      <w:r w:rsidRPr="006636A3">
        <w:rPr>
          <w:color w:val="auto"/>
          <w:sz w:val="20"/>
          <w:szCs w:val="18"/>
          <w:lang w:val="en-US"/>
        </w:rPr>
        <w:t>amplicon</w:t>
      </w:r>
      <w:proofErr w:type="spellEnd"/>
      <w:r w:rsidRPr="006636A3">
        <w:rPr>
          <w:color w:val="auto"/>
          <w:sz w:val="20"/>
          <w:szCs w:val="18"/>
          <w:lang w:val="en-US"/>
        </w:rPr>
        <w:t xml:space="preserve"> </w:t>
      </w:r>
      <w:proofErr w:type="spellStart"/>
      <w:r w:rsidRPr="006636A3">
        <w:rPr>
          <w:color w:val="auto"/>
          <w:sz w:val="20"/>
          <w:szCs w:val="18"/>
          <w:lang w:val="en-US"/>
        </w:rPr>
        <w:t>metagenomic</w:t>
      </w:r>
      <w:proofErr w:type="spellEnd"/>
      <w:r w:rsidRPr="006636A3">
        <w:rPr>
          <w:color w:val="auto"/>
          <w:sz w:val="20"/>
          <w:szCs w:val="18"/>
          <w:lang w:val="en-US"/>
        </w:rPr>
        <w:t xml:space="preserve"> approach based on the ITS2 region of fungal </w:t>
      </w:r>
      <w:proofErr w:type="spellStart"/>
      <w:r w:rsidRPr="006636A3">
        <w:rPr>
          <w:color w:val="auto"/>
          <w:sz w:val="20"/>
          <w:szCs w:val="18"/>
          <w:lang w:val="en-US"/>
        </w:rPr>
        <w:t>rDNA</w:t>
      </w:r>
      <w:proofErr w:type="spellEnd"/>
      <w:r w:rsidRPr="006636A3">
        <w:rPr>
          <w:color w:val="auto"/>
          <w:sz w:val="20"/>
          <w:szCs w:val="18"/>
          <w:lang w:val="en-US"/>
        </w:rPr>
        <w:t xml:space="preserve"> on the </w:t>
      </w:r>
      <w:proofErr w:type="spellStart"/>
      <w:r w:rsidRPr="006636A3">
        <w:rPr>
          <w:color w:val="auto"/>
          <w:sz w:val="20"/>
          <w:szCs w:val="18"/>
          <w:lang w:val="en-US"/>
        </w:rPr>
        <w:t>MiSeq</w:t>
      </w:r>
      <w:proofErr w:type="spellEnd"/>
      <w:r w:rsidRPr="006636A3">
        <w:rPr>
          <w:color w:val="auto"/>
          <w:sz w:val="20"/>
          <w:szCs w:val="18"/>
          <w:lang w:val="en-US"/>
        </w:rPr>
        <w:t xml:space="preserve"> </w:t>
      </w:r>
      <w:proofErr w:type="spellStart"/>
      <w:r w:rsidRPr="006636A3">
        <w:rPr>
          <w:color w:val="auto"/>
          <w:sz w:val="20"/>
          <w:szCs w:val="18"/>
          <w:lang w:val="en-US"/>
        </w:rPr>
        <w:t>Illumina</w:t>
      </w:r>
      <w:proofErr w:type="spellEnd"/>
      <w:r w:rsidRPr="006636A3">
        <w:rPr>
          <w:color w:val="auto"/>
          <w:sz w:val="20"/>
          <w:szCs w:val="18"/>
          <w:lang w:val="en-US"/>
        </w:rPr>
        <w:t xml:space="preserve"> platform was used to study the impact of foliar application of two fungicides, </w:t>
      </w:r>
      <w:r w:rsidRPr="006636A3">
        <w:rPr>
          <w:i/>
          <w:color w:val="auto"/>
          <w:sz w:val="20"/>
          <w:szCs w:val="18"/>
          <w:lang w:val="en-US"/>
        </w:rPr>
        <w:t>viz</w:t>
      </w:r>
      <w:r w:rsidRPr="006636A3">
        <w:rPr>
          <w:i/>
          <w:iCs/>
          <w:color w:val="auto"/>
          <w:sz w:val="20"/>
          <w:szCs w:val="18"/>
          <w:lang w:val="en-US"/>
        </w:rPr>
        <w:t>.</w:t>
      </w:r>
      <w:r w:rsidRPr="006636A3">
        <w:rPr>
          <w:color w:val="auto"/>
          <w:sz w:val="20"/>
          <w:szCs w:val="18"/>
          <w:lang w:val="en-US"/>
        </w:rPr>
        <w:t xml:space="preserve"> </w:t>
      </w:r>
      <w:proofErr w:type="spellStart"/>
      <w:r w:rsidRPr="006636A3">
        <w:rPr>
          <w:color w:val="auto"/>
          <w:sz w:val="20"/>
          <w:szCs w:val="18"/>
          <w:lang w:val="en-US"/>
        </w:rPr>
        <w:t>propineb</w:t>
      </w:r>
      <w:proofErr w:type="spellEnd"/>
      <w:r w:rsidRPr="006636A3">
        <w:rPr>
          <w:color w:val="auto"/>
          <w:sz w:val="20"/>
          <w:szCs w:val="18"/>
          <w:lang w:val="en-US"/>
        </w:rPr>
        <w:t xml:space="preserve"> and </w:t>
      </w:r>
      <w:proofErr w:type="spellStart"/>
      <w:r w:rsidRPr="006636A3">
        <w:rPr>
          <w:color w:val="auto"/>
          <w:sz w:val="20"/>
          <w:szCs w:val="18"/>
          <w:lang w:val="en-US"/>
        </w:rPr>
        <w:t>iprodione</w:t>
      </w:r>
      <w:proofErr w:type="spellEnd"/>
      <w:r w:rsidRPr="006636A3">
        <w:rPr>
          <w:color w:val="auto"/>
          <w:sz w:val="20"/>
          <w:szCs w:val="18"/>
          <w:lang w:val="en-US"/>
        </w:rPr>
        <w:t> + </w:t>
      </w:r>
      <w:proofErr w:type="spellStart"/>
      <w:r w:rsidRPr="006636A3">
        <w:rPr>
          <w:color w:val="auto"/>
          <w:sz w:val="20"/>
          <w:szCs w:val="18"/>
          <w:lang w:val="en-US"/>
        </w:rPr>
        <w:t>carbendazim</w:t>
      </w:r>
      <w:proofErr w:type="spellEnd"/>
      <w:r w:rsidRPr="006636A3">
        <w:rPr>
          <w:color w:val="auto"/>
          <w:sz w:val="20"/>
          <w:szCs w:val="18"/>
          <w:lang w:val="en-US"/>
        </w:rPr>
        <w:t xml:space="preserve"> on non</w:t>
      </w:r>
      <w:r>
        <w:rPr>
          <w:color w:val="auto"/>
          <w:sz w:val="20"/>
          <w:szCs w:val="18"/>
          <w:lang w:val="en-US"/>
        </w:rPr>
        <w:t>-</w:t>
      </w:r>
      <w:r w:rsidRPr="006636A3">
        <w:rPr>
          <w:color w:val="auto"/>
          <w:sz w:val="20"/>
          <w:szCs w:val="18"/>
          <w:lang w:val="en-US"/>
        </w:rPr>
        <w:t xml:space="preserve">target tomato leaf fungal communities in the context of early blight disease management. </w:t>
      </w:r>
      <w:proofErr w:type="spellStart"/>
      <w:r w:rsidRPr="006636A3">
        <w:rPr>
          <w:color w:val="auto"/>
          <w:sz w:val="20"/>
          <w:szCs w:val="18"/>
          <w:lang w:val="en-US"/>
        </w:rPr>
        <w:t>Metagenomic</w:t>
      </w:r>
      <w:proofErr w:type="spellEnd"/>
      <w:r w:rsidRPr="006636A3">
        <w:rPr>
          <w:color w:val="auto"/>
          <w:sz w:val="20"/>
          <w:szCs w:val="18"/>
          <w:lang w:val="en-US"/>
        </w:rPr>
        <w:t xml:space="preserve"> analysis revealed that the richness and diversity of tomato leaf fungal populations were adversely affected by the chemical treatments tested. Among the two fungicides, foliar application of contact fungicide </w:t>
      </w:r>
      <w:proofErr w:type="spellStart"/>
      <w:r w:rsidRPr="006636A3">
        <w:rPr>
          <w:color w:val="auto"/>
          <w:sz w:val="20"/>
          <w:szCs w:val="18"/>
          <w:lang w:val="en-US"/>
        </w:rPr>
        <w:t>propineb</w:t>
      </w:r>
      <w:proofErr w:type="spellEnd"/>
      <w:r w:rsidRPr="006636A3">
        <w:rPr>
          <w:color w:val="auto"/>
          <w:sz w:val="20"/>
          <w:szCs w:val="18"/>
          <w:lang w:val="en-US"/>
        </w:rPr>
        <w:t xml:space="preserve"> imparted less non</w:t>
      </w:r>
      <w:r>
        <w:rPr>
          <w:color w:val="auto"/>
          <w:sz w:val="20"/>
          <w:szCs w:val="18"/>
          <w:lang w:val="en-US"/>
        </w:rPr>
        <w:t>-</w:t>
      </w:r>
      <w:r w:rsidRPr="006636A3">
        <w:rPr>
          <w:color w:val="auto"/>
          <w:sz w:val="20"/>
          <w:szCs w:val="18"/>
          <w:lang w:val="en-US"/>
        </w:rPr>
        <w:t xml:space="preserve">targeted effects than the systemic fungicide </w:t>
      </w:r>
      <w:proofErr w:type="spellStart"/>
      <w:r w:rsidRPr="006636A3">
        <w:rPr>
          <w:color w:val="auto"/>
          <w:sz w:val="20"/>
          <w:szCs w:val="18"/>
          <w:lang w:val="en-US"/>
        </w:rPr>
        <w:t>iprodione</w:t>
      </w:r>
      <w:proofErr w:type="spellEnd"/>
      <w:r w:rsidRPr="006636A3">
        <w:rPr>
          <w:color w:val="auto"/>
          <w:sz w:val="20"/>
          <w:szCs w:val="18"/>
          <w:lang w:val="en-US"/>
        </w:rPr>
        <w:t> + </w:t>
      </w:r>
      <w:proofErr w:type="spellStart"/>
      <w:r w:rsidRPr="006636A3">
        <w:rPr>
          <w:color w:val="auto"/>
          <w:sz w:val="20"/>
          <w:szCs w:val="18"/>
          <w:lang w:val="en-US"/>
        </w:rPr>
        <w:t>carbendazim</w:t>
      </w:r>
      <w:proofErr w:type="spellEnd"/>
      <w:r w:rsidRPr="006636A3">
        <w:rPr>
          <w:color w:val="auto"/>
          <w:sz w:val="20"/>
          <w:szCs w:val="18"/>
          <w:lang w:val="en-US"/>
        </w:rPr>
        <w:t xml:space="preserve">. In addition, all samples showed association of pathogenic genera </w:t>
      </w:r>
      <w:proofErr w:type="spellStart"/>
      <w:r w:rsidRPr="006636A3">
        <w:rPr>
          <w:i/>
          <w:iCs/>
          <w:color w:val="auto"/>
          <w:sz w:val="20"/>
          <w:szCs w:val="18"/>
          <w:lang w:val="en-US"/>
        </w:rPr>
        <w:t>Cladosporium</w:t>
      </w:r>
      <w:proofErr w:type="spellEnd"/>
      <w:r w:rsidRPr="006636A3">
        <w:rPr>
          <w:color w:val="auto"/>
          <w:sz w:val="20"/>
          <w:szCs w:val="18"/>
          <w:lang w:val="en-US"/>
        </w:rPr>
        <w:t xml:space="preserve">, </w:t>
      </w:r>
      <w:proofErr w:type="spellStart"/>
      <w:r w:rsidRPr="006636A3">
        <w:rPr>
          <w:i/>
          <w:iCs/>
          <w:color w:val="auto"/>
          <w:sz w:val="20"/>
          <w:szCs w:val="18"/>
          <w:lang w:val="en-US"/>
        </w:rPr>
        <w:t>Corynespora</w:t>
      </w:r>
      <w:proofErr w:type="spellEnd"/>
      <w:r w:rsidRPr="006636A3">
        <w:rPr>
          <w:color w:val="auto"/>
          <w:sz w:val="20"/>
          <w:szCs w:val="18"/>
          <w:lang w:val="en-US"/>
        </w:rPr>
        <w:t>,</w:t>
      </w:r>
      <w:r w:rsidRPr="006636A3">
        <w:rPr>
          <w:i/>
          <w:iCs/>
          <w:color w:val="auto"/>
          <w:sz w:val="20"/>
          <w:szCs w:val="18"/>
          <w:lang w:val="en-US"/>
        </w:rPr>
        <w:t xml:space="preserve"> </w:t>
      </w:r>
      <w:proofErr w:type="spellStart"/>
      <w:r w:rsidRPr="006636A3">
        <w:rPr>
          <w:i/>
          <w:iCs/>
          <w:color w:val="auto"/>
          <w:sz w:val="20"/>
          <w:szCs w:val="18"/>
          <w:lang w:val="en-US"/>
        </w:rPr>
        <w:t>Pseudocercospora</w:t>
      </w:r>
      <w:proofErr w:type="spellEnd"/>
      <w:r w:rsidRPr="006636A3">
        <w:rPr>
          <w:i/>
          <w:iCs/>
          <w:color w:val="auto"/>
          <w:sz w:val="20"/>
          <w:szCs w:val="18"/>
          <w:lang w:val="en-US"/>
        </w:rPr>
        <w:t xml:space="preserve"> </w:t>
      </w:r>
      <w:r w:rsidRPr="006636A3">
        <w:rPr>
          <w:color w:val="auto"/>
          <w:sz w:val="20"/>
          <w:szCs w:val="18"/>
          <w:lang w:val="en-US"/>
        </w:rPr>
        <w:t xml:space="preserve">along with early blight pathogen </w:t>
      </w:r>
      <w:proofErr w:type="spellStart"/>
      <w:r w:rsidRPr="006636A3">
        <w:rPr>
          <w:i/>
          <w:iCs/>
          <w:color w:val="auto"/>
          <w:sz w:val="20"/>
          <w:szCs w:val="18"/>
          <w:lang w:val="en-US"/>
        </w:rPr>
        <w:t>Alternaria</w:t>
      </w:r>
      <w:proofErr w:type="spellEnd"/>
      <w:r w:rsidRPr="006636A3">
        <w:rPr>
          <w:i/>
          <w:iCs/>
          <w:color w:val="auto"/>
          <w:sz w:val="20"/>
          <w:szCs w:val="18"/>
          <w:lang w:val="en-US"/>
        </w:rPr>
        <w:t xml:space="preserve"> </w:t>
      </w:r>
      <w:r w:rsidRPr="006636A3">
        <w:rPr>
          <w:color w:val="auto"/>
          <w:sz w:val="20"/>
          <w:szCs w:val="18"/>
          <w:lang w:val="en-US"/>
        </w:rPr>
        <w:t xml:space="preserve">on tomato leaves that otherwise remain undetected. </w:t>
      </w:r>
      <w:proofErr w:type="spellStart"/>
      <w:r w:rsidRPr="006636A3">
        <w:rPr>
          <w:color w:val="auto"/>
          <w:sz w:val="20"/>
          <w:szCs w:val="18"/>
          <w:lang w:val="en-US"/>
        </w:rPr>
        <w:t>Metagenomic</w:t>
      </w:r>
      <w:proofErr w:type="spellEnd"/>
      <w:r w:rsidRPr="006636A3">
        <w:rPr>
          <w:color w:val="auto"/>
          <w:sz w:val="20"/>
          <w:szCs w:val="18"/>
          <w:lang w:val="en-US"/>
        </w:rPr>
        <w:t xml:space="preserve"> studies also revealed a new mode of action for fungicides and </w:t>
      </w:r>
      <w:r w:rsidR="007A1069" w:rsidRPr="006636A3">
        <w:rPr>
          <w:color w:val="auto"/>
          <w:sz w:val="20"/>
          <w:szCs w:val="18"/>
          <w:lang w:val="en-US"/>
        </w:rPr>
        <w:t>bio agents</w:t>
      </w:r>
      <w:r w:rsidRPr="006636A3">
        <w:rPr>
          <w:color w:val="auto"/>
          <w:sz w:val="20"/>
          <w:szCs w:val="18"/>
          <w:lang w:val="en-US"/>
        </w:rPr>
        <w:t xml:space="preserve"> besides their direct effect that is shifting the microbial community structure so that it provides greater resistance against the pathogen.</w:t>
      </w:r>
    </w:p>
    <w:p w:rsidR="006636A3" w:rsidRDefault="006636A3" w:rsidP="006636A3">
      <w:pPr>
        <w:pStyle w:val="Default"/>
        <w:spacing w:after="200" w:line="276" w:lineRule="auto"/>
        <w:jc w:val="center"/>
        <w:rPr>
          <w:color w:val="auto"/>
          <w:sz w:val="20"/>
          <w:szCs w:val="18"/>
          <w:lang w:val="en-US"/>
        </w:rPr>
      </w:pPr>
      <w:r>
        <w:rPr>
          <w:noProof/>
          <w:color w:val="auto"/>
          <w:sz w:val="20"/>
          <w:szCs w:val="18"/>
          <w:lang w:val="en-US"/>
        </w:rPr>
        <w:drawing>
          <wp:inline distT="0" distB="0" distL="0" distR="0" wp14:anchorId="6302FE41">
            <wp:extent cx="3645535" cy="296291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5535" cy="2962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36A3" w:rsidRPr="006636A3" w:rsidRDefault="006636A3" w:rsidP="006636A3">
      <w:pPr>
        <w:pStyle w:val="Default"/>
        <w:spacing w:after="200" w:line="276" w:lineRule="auto"/>
        <w:jc w:val="center"/>
        <w:rPr>
          <w:b/>
          <w:i/>
          <w:color w:val="auto"/>
          <w:sz w:val="18"/>
          <w:szCs w:val="18"/>
          <w:lang w:val="en-US"/>
        </w:rPr>
      </w:pPr>
      <w:commentRangeStart w:id="1"/>
      <w:proofErr w:type="gramStart"/>
      <w:r w:rsidRPr="006636A3">
        <w:rPr>
          <w:b/>
          <w:i/>
          <w:color w:val="auto"/>
          <w:sz w:val="18"/>
          <w:szCs w:val="18"/>
          <w:lang w:val="en-US"/>
        </w:rPr>
        <w:t>Figure 1.</w:t>
      </w:r>
      <w:commentRangeEnd w:id="1"/>
      <w:proofErr w:type="gramEnd"/>
      <w:r w:rsidR="00404825">
        <w:rPr>
          <w:rStyle w:val="CommentReference"/>
          <w:rFonts w:asciiTheme="minorHAnsi" w:hAnsiTheme="minorHAnsi" w:cstheme="minorBidi"/>
          <w:color w:val="auto"/>
          <w:lang w:val="en-US"/>
        </w:rPr>
        <w:commentReference w:id="1"/>
      </w:r>
    </w:p>
    <w:p w:rsidR="006636A3" w:rsidRPr="006636A3" w:rsidRDefault="006636A3" w:rsidP="006636A3">
      <w:pPr>
        <w:pStyle w:val="Default"/>
        <w:spacing w:after="200" w:line="276" w:lineRule="auto"/>
        <w:rPr>
          <w:b/>
          <w:color w:val="auto"/>
          <w:szCs w:val="18"/>
          <w:lang w:val="en-US"/>
        </w:rPr>
      </w:pPr>
      <w:r w:rsidRPr="006636A3">
        <w:rPr>
          <w:b/>
          <w:color w:val="auto"/>
          <w:szCs w:val="18"/>
          <w:lang w:val="en-US"/>
        </w:rPr>
        <w:lastRenderedPageBreak/>
        <w:t>Biography</w:t>
      </w:r>
    </w:p>
    <w:p w:rsidR="006636A3" w:rsidRPr="006636A3" w:rsidRDefault="006636A3" w:rsidP="006636A3">
      <w:pPr>
        <w:pStyle w:val="Default"/>
        <w:spacing w:after="200" w:line="276" w:lineRule="auto"/>
        <w:jc w:val="both"/>
      </w:pPr>
      <w:proofErr w:type="spellStart"/>
      <w:r w:rsidRPr="006636A3">
        <w:rPr>
          <w:color w:val="auto"/>
          <w:sz w:val="20"/>
          <w:szCs w:val="18"/>
          <w:lang w:val="en-US"/>
        </w:rPr>
        <w:t>Sumbula</w:t>
      </w:r>
      <w:proofErr w:type="spellEnd"/>
      <w:r>
        <w:rPr>
          <w:color w:val="auto"/>
          <w:sz w:val="20"/>
          <w:szCs w:val="18"/>
          <w:lang w:val="en-US"/>
        </w:rPr>
        <w:t xml:space="preserve"> </w:t>
      </w:r>
      <w:r w:rsidRPr="006636A3">
        <w:rPr>
          <w:color w:val="auto"/>
          <w:sz w:val="20"/>
          <w:szCs w:val="18"/>
          <w:lang w:val="en-US"/>
        </w:rPr>
        <w:t>V</w:t>
      </w:r>
      <w:r>
        <w:rPr>
          <w:color w:val="auto"/>
          <w:sz w:val="20"/>
          <w:szCs w:val="18"/>
          <w:lang w:val="en-US"/>
        </w:rPr>
        <w:t xml:space="preserve"> is</w:t>
      </w:r>
      <w:r w:rsidRPr="006636A3">
        <w:rPr>
          <w:color w:val="auto"/>
          <w:sz w:val="20"/>
          <w:szCs w:val="18"/>
          <w:lang w:val="en-US"/>
        </w:rPr>
        <w:t xml:space="preserve"> passionate about microbial community structure and their interaction with various micro and macro environment.</w:t>
      </w:r>
      <w:r w:rsidR="003315E0">
        <w:rPr>
          <w:color w:val="auto"/>
          <w:sz w:val="20"/>
          <w:szCs w:val="18"/>
          <w:lang w:val="en-US"/>
        </w:rPr>
        <w:t xml:space="preserve"> </w:t>
      </w:r>
      <w:r>
        <w:rPr>
          <w:color w:val="auto"/>
          <w:sz w:val="20"/>
          <w:szCs w:val="18"/>
          <w:lang w:val="en-US"/>
        </w:rPr>
        <w:t>Her</w:t>
      </w:r>
      <w:r w:rsidRPr="006636A3">
        <w:rPr>
          <w:color w:val="auto"/>
          <w:sz w:val="20"/>
          <w:szCs w:val="18"/>
          <w:lang w:val="en-US"/>
        </w:rPr>
        <w:t xml:space="preserve"> six years of study on plant pathology and practical field work experience have strongly confirmed microbial biodiversity and </w:t>
      </w:r>
      <w:proofErr w:type="spellStart"/>
      <w:r w:rsidRPr="006636A3">
        <w:rPr>
          <w:color w:val="auto"/>
          <w:sz w:val="20"/>
          <w:szCs w:val="18"/>
          <w:lang w:val="en-US"/>
        </w:rPr>
        <w:t>tritro</w:t>
      </w:r>
      <w:r>
        <w:rPr>
          <w:color w:val="auto"/>
          <w:sz w:val="20"/>
          <w:szCs w:val="18"/>
          <w:lang w:val="en-US"/>
        </w:rPr>
        <w:t>phic</w:t>
      </w:r>
      <w:proofErr w:type="spellEnd"/>
      <w:r>
        <w:rPr>
          <w:color w:val="auto"/>
          <w:sz w:val="20"/>
          <w:szCs w:val="18"/>
          <w:lang w:val="en-US"/>
        </w:rPr>
        <w:t xml:space="preserve"> interaction between plant-pathogens-</w:t>
      </w:r>
      <w:r w:rsidRPr="006636A3">
        <w:rPr>
          <w:color w:val="auto"/>
          <w:sz w:val="20"/>
          <w:szCs w:val="18"/>
          <w:lang w:val="en-US"/>
        </w:rPr>
        <w:t xml:space="preserve">beneficial microbes as research career choice for me. </w:t>
      </w:r>
      <w:r>
        <w:rPr>
          <w:color w:val="auto"/>
          <w:sz w:val="20"/>
          <w:szCs w:val="18"/>
          <w:lang w:val="en-US"/>
        </w:rPr>
        <w:t>She is</w:t>
      </w:r>
      <w:r w:rsidRPr="006636A3">
        <w:rPr>
          <w:color w:val="auto"/>
          <w:sz w:val="20"/>
          <w:szCs w:val="18"/>
          <w:lang w:val="en-US"/>
        </w:rPr>
        <w:t xml:space="preserve"> now looking forward to pursue research focused on my passion to explore more on the subject.</w:t>
      </w:r>
      <w:bookmarkEnd w:id="0"/>
    </w:p>
    <w:sectPr w:rsidR="006636A3" w:rsidRPr="006636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1-03T14:12:00Z" w:initials="SS">
    <w:p w:rsidR="00404825" w:rsidRDefault="00404825">
      <w:pPr>
        <w:pStyle w:val="CommentText"/>
      </w:pPr>
      <w:r>
        <w:rPr>
          <w:rStyle w:val="CommentReference"/>
        </w:rPr>
        <w:annotationRef/>
      </w:r>
      <w:r>
        <w:t>Add figure description and cite in abstract content</w:t>
      </w:r>
      <w:proofErr w:type="gramStart"/>
      <w:r>
        <w:t>..</w:t>
      </w:r>
      <w:proofErr w:type="gramEnd"/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6A3"/>
    <w:rsid w:val="003315E0"/>
    <w:rsid w:val="00404825"/>
    <w:rsid w:val="00474203"/>
    <w:rsid w:val="00535872"/>
    <w:rsid w:val="006636A3"/>
    <w:rsid w:val="007A1069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636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3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6A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048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48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48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48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482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636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3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6A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048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48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48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48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482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409</Words>
  <Characters>2333</Characters>
  <Application>Microsoft Office Word</Application>
  <DocSecurity>0</DocSecurity>
  <Lines>19</Lines>
  <Paragraphs>5</Paragraphs>
  <ScaleCrop>false</ScaleCrop>
  <Company/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4</cp:revision>
  <dcterms:created xsi:type="dcterms:W3CDTF">2022-11-03T08:28:00Z</dcterms:created>
  <dcterms:modified xsi:type="dcterms:W3CDTF">2022-11-03T08:42:00Z</dcterms:modified>
</cp:coreProperties>
</file>