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6020B5" w14:textId="7A71292E" w:rsidR="009A0652" w:rsidRPr="00843241" w:rsidRDefault="005C7D3D" w:rsidP="00843241">
      <w:pPr>
        <w:spacing w:after="200" w:line="276" w:lineRule="auto"/>
        <w:rPr>
          <w:rFonts w:ascii="Times New Roman" w:hAnsi="Times New Roman" w:cs="Times New Roman"/>
          <w:b/>
          <w:sz w:val="32"/>
          <w:szCs w:val="24"/>
        </w:rPr>
      </w:pPr>
      <w:r w:rsidRPr="00843241">
        <w:rPr>
          <w:rFonts w:ascii="Times New Roman" w:hAnsi="Times New Roman" w:cs="Times New Roman"/>
          <w:b/>
          <w:sz w:val="32"/>
          <w:szCs w:val="24"/>
        </w:rPr>
        <w:t>Could probiotics protect the liver?</w:t>
      </w:r>
    </w:p>
    <w:p w14:paraId="1B07E83F" w14:textId="6245CBC9" w:rsidR="005A4B85" w:rsidRPr="0003001A" w:rsidRDefault="0003001A" w:rsidP="00843241">
      <w:pPr>
        <w:spacing w:after="200" w:line="276" w:lineRule="auto"/>
        <w:rPr>
          <w:rFonts w:ascii="Times New Roman" w:hAnsi="Times New Roman" w:cs="Times New Roman"/>
          <w:sz w:val="24"/>
          <w:szCs w:val="24"/>
        </w:rPr>
      </w:pPr>
      <w:r>
        <w:rPr>
          <w:rFonts w:ascii="Times New Roman" w:hAnsi="Times New Roman" w:cs="Times New Roman"/>
          <w:sz w:val="24"/>
          <w:szCs w:val="24"/>
        </w:rPr>
        <w:t>Netusil R</w:t>
      </w:r>
      <w:r w:rsidR="0088745D" w:rsidRPr="0003001A">
        <w:rPr>
          <w:rFonts w:ascii="Times New Roman" w:hAnsi="Times New Roman" w:cs="Times New Roman"/>
          <w:sz w:val="24"/>
          <w:szCs w:val="24"/>
          <w:vertAlign w:val="superscript"/>
        </w:rPr>
        <w:t>1</w:t>
      </w:r>
      <w:r w:rsidR="0088745D" w:rsidRPr="0003001A">
        <w:rPr>
          <w:rFonts w:ascii="Times New Roman" w:hAnsi="Times New Roman" w:cs="Times New Roman"/>
          <w:sz w:val="24"/>
          <w:szCs w:val="24"/>
        </w:rPr>
        <w:t>*</w:t>
      </w:r>
      <w:r>
        <w:rPr>
          <w:rFonts w:ascii="Times New Roman" w:hAnsi="Times New Roman" w:cs="Times New Roman"/>
          <w:sz w:val="24"/>
          <w:szCs w:val="24"/>
        </w:rPr>
        <w:t>, Kohutkova Lanova M</w:t>
      </w:r>
      <w:r w:rsidR="0088745D" w:rsidRPr="0003001A">
        <w:rPr>
          <w:rFonts w:ascii="Times New Roman" w:hAnsi="Times New Roman" w:cs="Times New Roman"/>
          <w:sz w:val="24"/>
          <w:szCs w:val="24"/>
          <w:vertAlign w:val="superscript"/>
        </w:rPr>
        <w:t>1</w:t>
      </w:r>
      <w:r>
        <w:rPr>
          <w:rFonts w:ascii="Times New Roman" w:hAnsi="Times New Roman" w:cs="Times New Roman"/>
          <w:sz w:val="24"/>
          <w:szCs w:val="24"/>
        </w:rPr>
        <w:t>, Novotna K</w:t>
      </w:r>
      <w:r w:rsidR="0088745D" w:rsidRPr="0003001A">
        <w:rPr>
          <w:rFonts w:ascii="Times New Roman" w:hAnsi="Times New Roman" w:cs="Times New Roman"/>
          <w:sz w:val="24"/>
          <w:szCs w:val="24"/>
          <w:vertAlign w:val="superscript"/>
        </w:rPr>
        <w:t>1</w:t>
      </w:r>
      <w:r>
        <w:rPr>
          <w:rFonts w:ascii="Times New Roman" w:hAnsi="Times New Roman" w:cs="Times New Roman"/>
          <w:sz w:val="24"/>
          <w:szCs w:val="24"/>
        </w:rPr>
        <w:t>, Pospisilova E</w:t>
      </w:r>
      <w:r w:rsidR="0088745D" w:rsidRPr="0003001A">
        <w:rPr>
          <w:rFonts w:ascii="Times New Roman" w:hAnsi="Times New Roman" w:cs="Times New Roman"/>
          <w:sz w:val="24"/>
          <w:szCs w:val="24"/>
          <w:vertAlign w:val="superscript"/>
        </w:rPr>
        <w:t>1</w:t>
      </w:r>
      <w:r>
        <w:rPr>
          <w:rFonts w:ascii="Times New Roman" w:hAnsi="Times New Roman" w:cs="Times New Roman"/>
          <w:sz w:val="24"/>
          <w:szCs w:val="24"/>
        </w:rPr>
        <w:t>, Hanackova M</w:t>
      </w:r>
      <w:r w:rsidR="0088745D" w:rsidRPr="0003001A">
        <w:rPr>
          <w:rFonts w:ascii="Times New Roman" w:hAnsi="Times New Roman" w:cs="Times New Roman"/>
          <w:sz w:val="24"/>
          <w:szCs w:val="24"/>
          <w:vertAlign w:val="superscript"/>
        </w:rPr>
        <w:t>1</w:t>
      </w:r>
      <w:r>
        <w:rPr>
          <w:rFonts w:ascii="Times New Roman" w:hAnsi="Times New Roman" w:cs="Times New Roman"/>
          <w:sz w:val="24"/>
          <w:szCs w:val="24"/>
        </w:rPr>
        <w:t>, Faldyna M</w:t>
      </w:r>
      <w:r w:rsidR="0088745D" w:rsidRPr="0003001A">
        <w:rPr>
          <w:rFonts w:ascii="Times New Roman" w:hAnsi="Times New Roman" w:cs="Times New Roman"/>
          <w:sz w:val="24"/>
          <w:szCs w:val="24"/>
          <w:vertAlign w:val="superscript"/>
        </w:rPr>
        <w:t>2</w:t>
      </w:r>
      <w:r>
        <w:rPr>
          <w:rFonts w:ascii="Times New Roman" w:hAnsi="Times New Roman" w:cs="Times New Roman"/>
          <w:sz w:val="24"/>
          <w:szCs w:val="24"/>
        </w:rPr>
        <w:t>, Jeklova E</w:t>
      </w:r>
      <w:r w:rsidR="0088745D" w:rsidRPr="0003001A">
        <w:rPr>
          <w:rFonts w:ascii="Times New Roman" w:hAnsi="Times New Roman" w:cs="Times New Roman"/>
          <w:sz w:val="24"/>
          <w:szCs w:val="24"/>
          <w:vertAlign w:val="superscript"/>
        </w:rPr>
        <w:t>2</w:t>
      </w:r>
      <w:r>
        <w:rPr>
          <w:rFonts w:ascii="Times New Roman" w:hAnsi="Times New Roman" w:cs="Times New Roman"/>
          <w:sz w:val="24"/>
          <w:szCs w:val="24"/>
        </w:rPr>
        <w:t xml:space="preserve"> and Rysavka P</w:t>
      </w:r>
      <w:r w:rsidR="0088745D" w:rsidRPr="0003001A">
        <w:rPr>
          <w:rFonts w:ascii="Times New Roman" w:hAnsi="Times New Roman" w:cs="Times New Roman"/>
          <w:sz w:val="24"/>
          <w:szCs w:val="24"/>
          <w:vertAlign w:val="superscript"/>
        </w:rPr>
        <w:t>1</w:t>
      </w:r>
    </w:p>
    <w:p w14:paraId="5D5DF623" w14:textId="29969473" w:rsidR="0088745D" w:rsidRPr="00843241" w:rsidRDefault="0003001A" w:rsidP="00843241">
      <w:pPr>
        <w:spacing w:after="0" w:line="276" w:lineRule="auto"/>
        <w:rPr>
          <w:rFonts w:ascii="Times New Roman" w:hAnsi="Times New Roman" w:cs="Times New Roman"/>
          <w:szCs w:val="24"/>
        </w:rPr>
      </w:pPr>
      <w:r w:rsidRPr="00843241">
        <w:rPr>
          <w:rFonts w:ascii="Times New Roman" w:hAnsi="Times New Roman" w:cs="Times New Roman"/>
          <w:szCs w:val="24"/>
          <w:vertAlign w:val="superscript"/>
        </w:rPr>
        <w:t>1</w:t>
      </w:r>
      <w:r w:rsidR="0088745D" w:rsidRPr="00843241">
        <w:rPr>
          <w:rFonts w:ascii="Times New Roman" w:hAnsi="Times New Roman" w:cs="Times New Roman"/>
          <w:szCs w:val="24"/>
        </w:rPr>
        <w:t xml:space="preserve">Medi Pharma </w:t>
      </w:r>
      <w:r w:rsidRPr="00843241">
        <w:rPr>
          <w:rFonts w:ascii="Times New Roman" w:hAnsi="Times New Roman" w:cs="Times New Roman"/>
          <w:szCs w:val="24"/>
        </w:rPr>
        <w:t xml:space="preserve">Vision, </w:t>
      </w:r>
      <w:r w:rsidR="0088745D" w:rsidRPr="00843241">
        <w:rPr>
          <w:rFonts w:ascii="Times New Roman" w:hAnsi="Times New Roman" w:cs="Times New Roman"/>
          <w:szCs w:val="24"/>
        </w:rPr>
        <w:t>Czech Republic</w:t>
      </w:r>
    </w:p>
    <w:p w14:paraId="27498B06" w14:textId="7D9AD23C" w:rsidR="0088745D" w:rsidRPr="00843241" w:rsidRDefault="0003001A" w:rsidP="00843241">
      <w:pPr>
        <w:spacing w:after="200" w:line="276" w:lineRule="auto"/>
        <w:rPr>
          <w:rFonts w:ascii="Times New Roman" w:hAnsi="Times New Roman" w:cs="Times New Roman"/>
          <w:szCs w:val="24"/>
        </w:rPr>
      </w:pPr>
      <w:r w:rsidRPr="00843241">
        <w:rPr>
          <w:rFonts w:ascii="Times New Roman" w:hAnsi="Times New Roman" w:cs="Times New Roman"/>
          <w:szCs w:val="24"/>
          <w:vertAlign w:val="superscript"/>
        </w:rPr>
        <w:t>2</w:t>
      </w:r>
      <w:r w:rsidR="0088745D" w:rsidRPr="00843241">
        <w:rPr>
          <w:rFonts w:ascii="Times New Roman" w:hAnsi="Times New Roman" w:cs="Times New Roman"/>
          <w:szCs w:val="24"/>
        </w:rPr>
        <w:t>Veterinary Research Institut</w:t>
      </w:r>
      <w:r w:rsidRPr="00843241">
        <w:rPr>
          <w:rFonts w:ascii="Times New Roman" w:hAnsi="Times New Roman" w:cs="Times New Roman"/>
          <w:szCs w:val="24"/>
        </w:rPr>
        <w:t xml:space="preserve">e, </w:t>
      </w:r>
      <w:r w:rsidR="0088745D" w:rsidRPr="00843241">
        <w:rPr>
          <w:rFonts w:ascii="Times New Roman" w:hAnsi="Times New Roman" w:cs="Times New Roman"/>
          <w:szCs w:val="24"/>
        </w:rPr>
        <w:t>Czech Re</w:t>
      </w:r>
      <w:bookmarkStart w:id="0" w:name="_GoBack"/>
      <w:bookmarkEnd w:id="0"/>
      <w:r w:rsidR="0088745D" w:rsidRPr="00843241">
        <w:rPr>
          <w:rFonts w:ascii="Times New Roman" w:hAnsi="Times New Roman" w:cs="Times New Roman"/>
          <w:szCs w:val="24"/>
        </w:rPr>
        <w:t>public</w:t>
      </w:r>
    </w:p>
    <w:p w14:paraId="65FF682C" w14:textId="60FCBE43" w:rsidR="000A7F65" w:rsidRPr="0003001A" w:rsidRDefault="000A7F65" w:rsidP="00843241">
      <w:pPr>
        <w:spacing w:after="200" w:line="276" w:lineRule="auto"/>
        <w:jc w:val="center"/>
        <w:rPr>
          <w:rFonts w:ascii="Times New Roman" w:hAnsi="Times New Roman" w:cs="Times New Roman"/>
          <w:b/>
          <w:bCs/>
          <w:sz w:val="24"/>
          <w:szCs w:val="24"/>
        </w:rPr>
      </w:pPr>
      <w:r w:rsidRPr="0003001A">
        <w:rPr>
          <w:rFonts w:ascii="Times New Roman" w:hAnsi="Times New Roman" w:cs="Times New Roman"/>
          <w:b/>
          <w:bCs/>
          <w:sz w:val="24"/>
          <w:szCs w:val="24"/>
        </w:rPr>
        <w:t>Abstract</w:t>
      </w:r>
    </w:p>
    <w:p w14:paraId="53F7F46B" w14:textId="38CAFEF8" w:rsidR="00036F29" w:rsidRPr="00843241" w:rsidRDefault="00036F29" w:rsidP="00843241">
      <w:pPr>
        <w:spacing w:after="200" w:line="276" w:lineRule="auto"/>
        <w:jc w:val="both"/>
        <w:rPr>
          <w:rFonts w:ascii="Times New Roman" w:hAnsi="Times New Roman" w:cs="Times New Roman"/>
          <w:sz w:val="20"/>
          <w:szCs w:val="24"/>
        </w:rPr>
      </w:pPr>
      <w:r w:rsidRPr="00843241">
        <w:rPr>
          <w:rFonts w:ascii="Times New Roman" w:hAnsi="Times New Roman" w:cs="Times New Roman"/>
          <w:sz w:val="20"/>
          <w:szCs w:val="24"/>
        </w:rPr>
        <w:t>The liver has an irreplaceable detoxifying function in the body. It breaks down all foreign substances, such as drugs, alcohol, poisons, but also</w:t>
      </w:r>
      <w:r w:rsidR="00843241">
        <w:rPr>
          <w:rFonts w:ascii="Times New Roman" w:hAnsi="Times New Roman" w:cs="Times New Roman"/>
          <w:sz w:val="20"/>
          <w:szCs w:val="24"/>
        </w:rPr>
        <w:t xml:space="preserve"> substances created in the body-</w:t>
      </w:r>
      <w:r w:rsidRPr="00843241">
        <w:rPr>
          <w:rFonts w:ascii="Times New Roman" w:hAnsi="Times New Roman" w:cs="Times New Roman"/>
          <w:sz w:val="20"/>
          <w:szCs w:val="24"/>
        </w:rPr>
        <w:t>heme, hormones, proteins, ammonia etc. The main task of the liver cells is to convert substances into less toxic and more water-soluble ones, thus facilitating their excretion through bile, faeces and especially urine. If the liver cannot perform its function or performs it insufficiently due to disease, the organism is burdened with various toxic metabolites.</w:t>
      </w:r>
    </w:p>
    <w:p w14:paraId="6A688AAE" w14:textId="1F977B0E" w:rsidR="00036F29" w:rsidRPr="00843241" w:rsidRDefault="00036F29" w:rsidP="00843241">
      <w:pPr>
        <w:spacing w:after="200" w:line="276" w:lineRule="auto"/>
        <w:jc w:val="both"/>
        <w:rPr>
          <w:rFonts w:ascii="Times New Roman" w:hAnsi="Times New Roman" w:cs="Times New Roman"/>
          <w:sz w:val="20"/>
          <w:szCs w:val="24"/>
        </w:rPr>
      </w:pPr>
      <w:r w:rsidRPr="00843241">
        <w:rPr>
          <w:rFonts w:ascii="Times New Roman" w:hAnsi="Times New Roman" w:cs="Times New Roman"/>
          <w:sz w:val="20"/>
          <w:szCs w:val="24"/>
        </w:rPr>
        <w:t xml:space="preserve">It has been shown that liver function is closely related to the composition of the gut microbiome. Changes in the composition of the microbiome have been observed in various liver diseases such as </w:t>
      </w:r>
      <w:r w:rsidR="00843241" w:rsidRPr="00843241">
        <w:rPr>
          <w:rFonts w:ascii="Times New Roman" w:hAnsi="Times New Roman" w:cs="Times New Roman"/>
          <w:sz w:val="20"/>
          <w:szCs w:val="24"/>
        </w:rPr>
        <w:t xml:space="preserve">Non-Alcoholic Fatty Liver Disease </w:t>
      </w:r>
      <w:r w:rsidRPr="00843241">
        <w:rPr>
          <w:rFonts w:ascii="Times New Roman" w:hAnsi="Times New Roman" w:cs="Times New Roman"/>
          <w:sz w:val="20"/>
          <w:szCs w:val="24"/>
        </w:rPr>
        <w:t xml:space="preserve">(NAFLD), </w:t>
      </w:r>
      <w:r w:rsidR="00843241" w:rsidRPr="00843241">
        <w:rPr>
          <w:rFonts w:ascii="Times New Roman" w:hAnsi="Times New Roman" w:cs="Times New Roman"/>
          <w:sz w:val="20"/>
          <w:szCs w:val="24"/>
        </w:rPr>
        <w:t>Non-Alcoholic Steatohepatitis</w:t>
      </w:r>
      <w:r w:rsidRPr="00843241">
        <w:rPr>
          <w:rFonts w:ascii="Times New Roman" w:hAnsi="Times New Roman" w:cs="Times New Roman"/>
          <w:sz w:val="20"/>
          <w:szCs w:val="24"/>
        </w:rPr>
        <w:t xml:space="preserve"> (NASH), hepatic encephalopathy, alcoholic liver injury </w:t>
      </w:r>
      <w:r w:rsidR="000A7F65" w:rsidRPr="00843241">
        <w:rPr>
          <w:rFonts w:ascii="Times New Roman" w:hAnsi="Times New Roman" w:cs="Times New Roman"/>
          <w:sz w:val="20"/>
          <w:szCs w:val="24"/>
        </w:rPr>
        <w:t>or</w:t>
      </w:r>
      <w:r w:rsidRPr="00843241">
        <w:rPr>
          <w:rFonts w:ascii="Times New Roman" w:hAnsi="Times New Roman" w:cs="Times New Roman"/>
          <w:sz w:val="20"/>
          <w:szCs w:val="24"/>
        </w:rPr>
        <w:t xml:space="preserve"> hepatocellular</w:t>
      </w:r>
      <w:r w:rsidR="000A7F65" w:rsidRPr="00843241">
        <w:rPr>
          <w:rFonts w:ascii="Times New Roman" w:hAnsi="Times New Roman" w:cs="Times New Roman"/>
          <w:sz w:val="20"/>
          <w:szCs w:val="24"/>
        </w:rPr>
        <w:t xml:space="preserve"> carcinoma</w:t>
      </w:r>
      <w:r w:rsidRPr="00843241">
        <w:rPr>
          <w:rFonts w:ascii="Times New Roman" w:hAnsi="Times New Roman" w:cs="Times New Roman"/>
          <w:sz w:val="20"/>
          <w:szCs w:val="24"/>
        </w:rPr>
        <w:t>. The</w:t>
      </w:r>
      <w:r w:rsidR="000A7F65" w:rsidRPr="00843241">
        <w:rPr>
          <w:rFonts w:ascii="Times New Roman" w:hAnsi="Times New Roman" w:cs="Times New Roman"/>
          <w:sz w:val="20"/>
          <w:szCs w:val="24"/>
        </w:rPr>
        <w:t>re is a plenty of</w:t>
      </w:r>
      <w:r w:rsidRPr="00843241">
        <w:rPr>
          <w:rFonts w:ascii="Times New Roman" w:hAnsi="Times New Roman" w:cs="Times New Roman"/>
          <w:sz w:val="20"/>
          <w:szCs w:val="24"/>
        </w:rPr>
        <w:t xml:space="preserve"> mechanisms by which the microbiome can influence liver function</w:t>
      </w:r>
      <w:r w:rsidR="00D42C1C" w:rsidRPr="00843241">
        <w:rPr>
          <w:rFonts w:ascii="Times New Roman" w:hAnsi="Times New Roman" w:cs="Times New Roman"/>
          <w:sz w:val="20"/>
          <w:szCs w:val="24"/>
        </w:rPr>
        <w:t>, such as r</w:t>
      </w:r>
      <w:r w:rsidRPr="00843241">
        <w:rPr>
          <w:rFonts w:ascii="Times New Roman" w:hAnsi="Times New Roman" w:cs="Times New Roman"/>
          <w:sz w:val="20"/>
          <w:szCs w:val="24"/>
        </w:rPr>
        <w:t>egulation of gut permeability (leaky gut</w:t>
      </w:r>
      <w:r w:rsidR="00D42C1C" w:rsidRPr="00843241">
        <w:rPr>
          <w:rFonts w:ascii="Times New Roman" w:hAnsi="Times New Roman" w:cs="Times New Roman"/>
          <w:sz w:val="20"/>
          <w:szCs w:val="24"/>
        </w:rPr>
        <w:t xml:space="preserve">), </w:t>
      </w:r>
      <w:r w:rsidRPr="00843241">
        <w:rPr>
          <w:rFonts w:ascii="Times New Roman" w:hAnsi="Times New Roman" w:cs="Times New Roman"/>
          <w:sz w:val="20"/>
          <w:szCs w:val="24"/>
        </w:rPr>
        <w:t>modulati</w:t>
      </w:r>
      <w:r w:rsidR="00DA0DB8" w:rsidRPr="00843241">
        <w:rPr>
          <w:rFonts w:ascii="Times New Roman" w:hAnsi="Times New Roman" w:cs="Times New Roman"/>
          <w:sz w:val="20"/>
          <w:szCs w:val="24"/>
        </w:rPr>
        <w:t>on of</w:t>
      </w:r>
      <w:r w:rsidRPr="00843241">
        <w:rPr>
          <w:rFonts w:ascii="Times New Roman" w:hAnsi="Times New Roman" w:cs="Times New Roman"/>
          <w:sz w:val="20"/>
          <w:szCs w:val="24"/>
        </w:rPr>
        <w:t xml:space="preserve"> choline metabolism, endogenous ethanol production </w:t>
      </w:r>
      <w:r w:rsidR="00D42C1C" w:rsidRPr="00843241">
        <w:rPr>
          <w:rFonts w:ascii="Times New Roman" w:hAnsi="Times New Roman" w:cs="Times New Roman"/>
          <w:sz w:val="20"/>
          <w:szCs w:val="24"/>
        </w:rPr>
        <w:t>or</w:t>
      </w:r>
      <w:r w:rsidRPr="00843241">
        <w:rPr>
          <w:rFonts w:ascii="Times New Roman" w:hAnsi="Times New Roman" w:cs="Times New Roman"/>
          <w:sz w:val="20"/>
          <w:szCs w:val="24"/>
        </w:rPr>
        <w:t xml:space="preserve"> bile acid regulation.</w:t>
      </w:r>
      <w:r w:rsidR="000A7F65" w:rsidRPr="00843241">
        <w:rPr>
          <w:rFonts w:ascii="Times New Roman" w:hAnsi="Times New Roman" w:cs="Times New Roman"/>
          <w:sz w:val="20"/>
          <w:szCs w:val="24"/>
        </w:rPr>
        <w:t xml:space="preserve"> Also, replacing urea producing bacteria by non-producing (such as lactobacilli) can play a </w:t>
      </w:r>
      <w:r w:rsidR="00A45345" w:rsidRPr="00843241">
        <w:rPr>
          <w:rFonts w:ascii="Times New Roman" w:hAnsi="Times New Roman" w:cs="Times New Roman"/>
          <w:sz w:val="20"/>
          <w:szCs w:val="24"/>
        </w:rPr>
        <w:t xml:space="preserve">significant </w:t>
      </w:r>
      <w:r w:rsidR="000A7F65" w:rsidRPr="00843241">
        <w:rPr>
          <w:rFonts w:ascii="Times New Roman" w:hAnsi="Times New Roman" w:cs="Times New Roman"/>
          <w:sz w:val="20"/>
          <w:szCs w:val="24"/>
        </w:rPr>
        <w:t>role.</w:t>
      </w:r>
    </w:p>
    <w:p w14:paraId="1E0B1458" w14:textId="6CDA25E0" w:rsidR="00B715CD" w:rsidRPr="00843241" w:rsidRDefault="00036F29" w:rsidP="00843241">
      <w:pPr>
        <w:spacing w:after="200" w:line="276" w:lineRule="auto"/>
        <w:jc w:val="both"/>
        <w:rPr>
          <w:rFonts w:ascii="Times New Roman" w:hAnsi="Times New Roman" w:cs="Times New Roman"/>
          <w:sz w:val="20"/>
          <w:szCs w:val="24"/>
        </w:rPr>
      </w:pPr>
      <w:r w:rsidRPr="00843241">
        <w:rPr>
          <w:rFonts w:ascii="Times New Roman" w:hAnsi="Times New Roman" w:cs="Times New Roman"/>
          <w:sz w:val="20"/>
          <w:szCs w:val="24"/>
        </w:rPr>
        <w:t xml:space="preserve">Our </w:t>
      </w:r>
      <w:r w:rsidR="00D42C1C" w:rsidRPr="00843241">
        <w:rPr>
          <w:rFonts w:ascii="Times New Roman" w:hAnsi="Times New Roman" w:cs="Times New Roman"/>
          <w:sz w:val="20"/>
          <w:szCs w:val="24"/>
        </w:rPr>
        <w:t xml:space="preserve">current </w:t>
      </w:r>
      <w:r w:rsidRPr="00843241">
        <w:rPr>
          <w:rFonts w:ascii="Times New Roman" w:hAnsi="Times New Roman" w:cs="Times New Roman"/>
          <w:sz w:val="20"/>
          <w:szCs w:val="24"/>
        </w:rPr>
        <w:t xml:space="preserve">research is focused on selecting appropriate probiotic strains to reduce the liver burden, either in patients with liver disorders or as a preventive measure in people predisposed to liver disorders. We performed </w:t>
      </w:r>
      <w:r w:rsidRPr="00843241">
        <w:rPr>
          <w:rFonts w:ascii="Times New Roman" w:hAnsi="Times New Roman" w:cs="Times New Roman"/>
          <w:i/>
          <w:iCs/>
          <w:sz w:val="20"/>
          <w:szCs w:val="24"/>
        </w:rPr>
        <w:t>in vitro</w:t>
      </w:r>
      <w:r w:rsidRPr="00843241">
        <w:rPr>
          <w:rFonts w:ascii="Times New Roman" w:hAnsi="Times New Roman" w:cs="Times New Roman"/>
          <w:sz w:val="20"/>
          <w:szCs w:val="24"/>
        </w:rPr>
        <w:t xml:space="preserve"> screening of several dozen probiotic cultures and selected four that demonstrated the ability to deconjugate</w:t>
      </w:r>
      <w:r w:rsidR="009641BD" w:rsidRPr="00843241">
        <w:rPr>
          <w:rFonts w:ascii="Times New Roman" w:hAnsi="Times New Roman" w:cs="Times New Roman"/>
          <w:sz w:val="20"/>
          <w:szCs w:val="24"/>
        </w:rPr>
        <w:t xml:space="preserve"> harmful</w:t>
      </w:r>
      <w:r w:rsidRPr="00843241">
        <w:rPr>
          <w:rFonts w:ascii="Times New Roman" w:hAnsi="Times New Roman" w:cs="Times New Roman"/>
          <w:sz w:val="20"/>
          <w:szCs w:val="24"/>
        </w:rPr>
        <w:t xml:space="preserve"> </w:t>
      </w:r>
      <w:r w:rsidR="00A45345" w:rsidRPr="00843241">
        <w:rPr>
          <w:rFonts w:ascii="Times New Roman" w:hAnsi="Times New Roman" w:cs="Times New Roman"/>
          <w:sz w:val="20"/>
          <w:szCs w:val="24"/>
        </w:rPr>
        <w:t xml:space="preserve">primary </w:t>
      </w:r>
      <w:r w:rsidRPr="00843241">
        <w:rPr>
          <w:rFonts w:ascii="Times New Roman" w:hAnsi="Times New Roman" w:cs="Times New Roman"/>
          <w:sz w:val="20"/>
          <w:szCs w:val="24"/>
        </w:rPr>
        <w:t>bile acids. A probiotic mix</w:t>
      </w:r>
      <w:r w:rsidR="00A45345" w:rsidRPr="00843241">
        <w:rPr>
          <w:rFonts w:ascii="Times New Roman" w:hAnsi="Times New Roman" w:cs="Times New Roman"/>
          <w:sz w:val="20"/>
          <w:szCs w:val="24"/>
        </w:rPr>
        <w:t>ture</w:t>
      </w:r>
      <w:r w:rsidRPr="00843241">
        <w:rPr>
          <w:rFonts w:ascii="Times New Roman" w:hAnsi="Times New Roman" w:cs="Times New Roman"/>
          <w:sz w:val="20"/>
          <w:szCs w:val="24"/>
        </w:rPr>
        <w:t xml:space="preserve"> consisting of the selected probiotic strains was further tested </w:t>
      </w:r>
      <w:r w:rsidRPr="00843241">
        <w:rPr>
          <w:rFonts w:ascii="Times New Roman" w:hAnsi="Times New Roman" w:cs="Times New Roman"/>
          <w:i/>
          <w:iCs/>
          <w:sz w:val="20"/>
          <w:szCs w:val="24"/>
        </w:rPr>
        <w:t>in vivo</w:t>
      </w:r>
      <w:r w:rsidRPr="00843241">
        <w:rPr>
          <w:rFonts w:ascii="Times New Roman" w:hAnsi="Times New Roman" w:cs="Times New Roman"/>
          <w:sz w:val="20"/>
          <w:szCs w:val="24"/>
        </w:rPr>
        <w:t xml:space="preserve"> in a mouse model of diet-induced </w:t>
      </w:r>
      <w:r w:rsidR="00491522" w:rsidRPr="00843241">
        <w:rPr>
          <w:rFonts w:ascii="Times New Roman" w:hAnsi="Times New Roman" w:cs="Times New Roman"/>
          <w:sz w:val="20"/>
          <w:szCs w:val="24"/>
        </w:rPr>
        <w:t>NASH</w:t>
      </w:r>
      <w:r w:rsidRPr="00843241">
        <w:rPr>
          <w:rFonts w:ascii="Times New Roman" w:hAnsi="Times New Roman" w:cs="Times New Roman"/>
          <w:sz w:val="20"/>
          <w:szCs w:val="24"/>
        </w:rPr>
        <w:t>. We demonstrated that probiotic supplementation had a significant effect in protecting against microbiome damage in this model. In addition, we demonstrated that the</w:t>
      </w:r>
      <w:r w:rsidR="00491522" w:rsidRPr="00843241">
        <w:rPr>
          <w:rFonts w:ascii="Times New Roman" w:hAnsi="Times New Roman" w:cs="Times New Roman"/>
          <w:sz w:val="20"/>
          <w:szCs w:val="24"/>
        </w:rPr>
        <w:t xml:space="preserve"> diet-induced NASH group consuming</w:t>
      </w:r>
      <w:r w:rsidRPr="00843241">
        <w:rPr>
          <w:rFonts w:ascii="Times New Roman" w:hAnsi="Times New Roman" w:cs="Times New Roman"/>
          <w:sz w:val="20"/>
          <w:szCs w:val="24"/>
        </w:rPr>
        <w:t xml:space="preserve"> probiotic</w:t>
      </w:r>
      <w:r w:rsidR="00491522" w:rsidRPr="00843241">
        <w:rPr>
          <w:rFonts w:ascii="Times New Roman" w:hAnsi="Times New Roman" w:cs="Times New Roman"/>
          <w:sz w:val="20"/>
          <w:szCs w:val="24"/>
        </w:rPr>
        <w:t xml:space="preserve">s </w:t>
      </w:r>
      <w:r w:rsidRPr="00843241">
        <w:rPr>
          <w:rFonts w:ascii="Times New Roman" w:hAnsi="Times New Roman" w:cs="Times New Roman"/>
          <w:sz w:val="20"/>
          <w:szCs w:val="24"/>
        </w:rPr>
        <w:t xml:space="preserve">has a statistically significant lower monocyte abundance compared to the non-probiotic </w:t>
      </w:r>
      <w:r w:rsidR="00491522" w:rsidRPr="00843241">
        <w:rPr>
          <w:rFonts w:ascii="Times New Roman" w:hAnsi="Times New Roman" w:cs="Times New Roman"/>
          <w:sz w:val="20"/>
          <w:szCs w:val="24"/>
        </w:rPr>
        <w:t xml:space="preserve">NASH </w:t>
      </w:r>
      <w:r w:rsidRPr="00843241">
        <w:rPr>
          <w:rFonts w:ascii="Times New Roman" w:hAnsi="Times New Roman" w:cs="Times New Roman"/>
          <w:sz w:val="20"/>
          <w:szCs w:val="24"/>
        </w:rPr>
        <w:t>group. Further measurements of the collected samples are still in progress. However, we can already say that the final product will have the potential to help in the prevention and therapy of liver diseases.</w:t>
      </w:r>
    </w:p>
    <w:p w14:paraId="5F40D614" w14:textId="77777777" w:rsidR="0003001A" w:rsidRPr="0003001A" w:rsidRDefault="0003001A" w:rsidP="00843241">
      <w:pPr>
        <w:spacing w:after="200" w:line="276" w:lineRule="auto"/>
        <w:rPr>
          <w:rFonts w:ascii="Times New Roman" w:hAnsi="Times New Roman" w:cs="Times New Roman"/>
          <w:b/>
          <w:bCs/>
          <w:sz w:val="24"/>
          <w:szCs w:val="24"/>
        </w:rPr>
      </w:pPr>
      <w:r w:rsidRPr="0003001A">
        <w:rPr>
          <w:rFonts w:ascii="Times New Roman" w:hAnsi="Times New Roman" w:cs="Times New Roman"/>
          <w:b/>
          <w:bCs/>
          <w:sz w:val="24"/>
          <w:szCs w:val="24"/>
        </w:rPr>
        <w:t>Biography</w:t>
      </w:r>
    </w:p>
    <w:p w14:paraId="2A4A7761" w14:textId="5EA4407E" w:rsidR="009A0652" w:rsidRPr="0003001A" w:rsidRDefault="00843241" w:rsidP="00843241">
      <w:pPr>
        <w:spacing w:after="200" w:line="276" w:lineRule="auto"/>
        <w:jc w:val="both"/>
        <w:rPr>
          <w:rFonts w:ascii="Times New Roman" w:hAnsi="Times New Roman" w:cs="Times New Roman"/>
          <w:sz w:val="24"/>
          <w:szCs w:val="24"/>
        </w:rPr>
      </w:pPr>
      <w:r>
        <w:rPr>
          <w:rFonts w:ascii="Times New Roman" w:hAnsi="Times New Roman" w:cs="Times New Roman"/>
          <w:sz w:val="20"/>
          <w:szCs w:val="24"/>
        </w:rPr>
        <w:t>Radek Netusil, PhD</w:t>
      </w:r>
      <w:r w:rsidR="0003001A" w:rsidRPr="00843241">
        <w:rPr>
          <w:rFonts w:ascii="Times New Roman" w:hAnsi="Times New Roman" w:cs="Times New Roman"/>
          <w:sz w:val="20"/>
          <w:szCs w:val="24"/>
        </w:rPr>
        <w:t xml:space="preserve"> received his education at Masaryk University in Brno, Czech Republic. His specialisation was animal orientation with a focus on magnetoreception. Since 2017 he started working in the private sector, dealing with probiotics. At Pharmaceutical Biotechnology, he has been part of a team developing superabsorbent animal bedding or probiotic beer. Since 2019, he has been at Medi Pharma Vision, where he works on the development of unique tailor-made probiotics. He has also been involved in the development of probiotic products targeting patients with renal insufficiency and is currently the principal investigator of a project to develop probiotic supplementation to help patients with liver dysfunction.</w:t>
      </w:r>
    </w:p>
    <w:sectPr w:rsidR="009A0652" w:rsidRPr="0003001A" w:rsidSect="008F4E09">
      <w:pgSz w:w="11906" w:h="16838"/>
      <w:pgMar w:top="720" w:right="720" w:bottom="720" w:left="720" w:header="283"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F7FB23" w14:textId="77777777" w:rsidR="00E10B71" w:rsidRDefault="00E10B71" w:rsidP="008F4E09">
      <w:pPr>
        <w:spacing w:after="0" w:line="240" w:lineRule="auto"/>
      </w:pPr>
      <w:r>
        <w:separator/>
      </w:r>
    </w:p>
  </w:endnote>
  <w:endnote w:type="continuationSeparator" w:id="0">
    <w:p w14:paraId="31DB82B9" w14:textId="77777777" w:rsidR="00E10B71" w:rsidRDefault="00E10B71" w:rsidP="008F4E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9C832F" w14:textId="77777777" w:rsidR="00E10B71" w:rsidRDefault="00E10B71" w:rsidP="008F4E09">
      <w:pPr>
        <w:spacing w:after="0" w:line="240" w:lineRule="auto"/>
      </w:pPr>
      <w:r>
        <w:separator/>
      </w:r>
    </w:p>
  </w:footnote>
  <w:footnote w:type="continuationSeparator" w:id="0">
    <w:p w14:paraId="20A5A22E" w14:textId="77777777" w:rsidR="00E10B71" w:rsidRDefault="00E10B71" w:rsidP="008F4E0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F74482"/>
    <w:multiLevelType w:val="hybridMultilevel"/>
    <w:tmpl w:val="DFAA056C"/>
    <w:lvl w:ilvl="0" w:tplc="2CE250B0">
      <w:start w:val="2"/>
      <w:numFmt w:val="bullet"/>
      <w:lvlText w:val=""/>
      <w:lvlJc w:val="left"/>
      <w:pPr>
        <w:ind w:left="720" w:hanging="360"/>
      </w:pPr>
      <w:rPr>
        <w:rFonts w:ascii="Symbol" w:eastAsiaTheme="minorHAnsi" w:hAnsi="Symbol"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7B9138F5"/>
    <w:multiLevelType w:val="hybridMultilevel"/>
    <w:tmpl w:val="50B0F784"/>
    <w:lvl w:ilvl="0" w:tplc="BA4C6ED4">
      <w:start w:val="2"/>
      <w:numFmt w:val="bullet"/>
      <w:lvlText w:val=""/>
      <w:lvlJc w:val="left"/>
      <w:pPr>
        <w:ind w:left="720" w:hanging="360"/>
      </w:pPr>
      <w:rPr>
        <w:rFonts w:ascii="Symbol" w:eastAsiaTheme="minorHAnsi" w:hAnsi="Symbol"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nsid w:val="7BC46FB3"/>
    <w:multiLevelType w:val="hybridMultilevel"/>
    <w:tmpl w:val="ECEE18B0"/>
    <w:lvl w:ilvl="0" w:tplc="79CCF2A2">
      <w:start w:val="2"/>
      <w:numFmt w:val="bullet"/>
      <w:lvlText w:val=""/>
      <w:lvlJc w:val="left"/>
      <w:pPr>
        <w:ind w:left="720" w:hanging="360"/>
      </w:pPr>
      <w:rPr>
        <w:rFonts w:ascii="Symbol" w:eastAsiaTheme="minorHAnsi" w:hAnsi="Symbol"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nsid w:val="7E013997"/>
    <w:multiLevelType w:val="hybridMultilevel"/>
    <w:tmpl w:val="E76251AC"/>
    <w:lvl w:ilvl="0" w:tplc="5290DFEC">
      <w:start w:val="2"/>
      <w:numFmt w:val="bullet"/>
      <w:lvlText w:val=""/>
      <w:lvlJc w:val="left"/>
      <w:pPr>
        <w:ind w:left="720" w:hanging="360"/>
      </w:pPr>
      <w:rPr>
        <w:rFonts w:ascii="Symbol" w:eastAsiaTheme="minorHAnsi" w:hAnsi="Symbol"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FE3"/>
    <w:rsid w:val="0003001A"/>
    <w:rsid w:val="00036F29"/>
    <w:rsid w:val="000A7F65"/>
    <w:rsid w:val="001D7656"/>
    <w:rsid w:val="003C1B33"/>
    <w:rsid w:val="00491522"/>
    <w:rsid w:val="005366D9"/>
    <w:rsid w:val="00560FE3"/>
    <w:rsid w:val="005A4B85"/>
    <w:rsid w:val="005C7D3D"/>
    <w:rsid w:val="007965E6"/>
    <w:rsid w:val="007F4D96"/>
    <w:rsid w:val="00843241"/>
    <w:rsid w:val="0088745D"/>
    <w:rsid w:val="008F4E09"/>
    <w:rsid w:val="009641BD"/>
    <w:rsid w:val="009A0652"/>
    <w:rsid w:val="00A20A45"/>
    <w:rsid w:val="00A45345"/>
    <w:rsid w:val="00B715CD"/>
    <w:rsid w:val="00B81656"/>
    <w:rsid w:val="00D12BF9"/>
    <w:rsid w:val="00D42C1C"/>
    <w:rsid w:val="00DA0DB8"/>
    <w:rsid w:val="00E10B71"/>
    <w:rsid w:val="00E7199C"/>
    <w:rsid w:val="00EA65A7"/>
    <w:rsid w:val="00F27035"/>
    <w:rsid w:val="00F36FBD"/>
    <w:rsid w:val="00F55532"/>
    <w:rsid w:val="00F76E4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5E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745D"/>
    <w:pPr>
      <w:ind w:left="720"/>
      <w:contextualSpacing/>
    </w:pPr>
  </w:style>
  <w:style w:type="paragraph" w:styleId="Header">
    <w:name w:val="header"/>
    <w:basedOn w:val="Normal"/>
    <w:link w:val="HeaderChar"/>
    <w:uiPriority w:val="99"/>
    <w:unhideWhenUsed/>
    <w:rsid w:val="008F4E09"/>
    <w:pPr>
      <w:tabs>
        <w:tab w:val="center" w:pos="4536"/>
        <w:tab w:val="right" w:pos="9072"/>
      </w:tabs>
      <w:spacing w:after="0" w:line="240" w:lineRule="auto"/>
    </w:pPr>
  </w:style>
  <w:style w:type="character" w:customStyle="1" w:styleId="HeaderChar">
    <w:name w:val="Header Char"/>
    <w:basedOn w:val="DefaultParagraphFont"/>
    <w:link w:val="Header"/>
    <w:uiPriority w:val="99"/>
    <w:rsid w:val="008F4E09"/>
    <w:rPr>
      <w:noProof/>
    </w:rPr>
  </w:style>
  <w:style w:type="paragraph" w:styleId="Footer">
    <w:name w:val="footer"/>
    <w:basedOn w:val="Normal"/>
    <w:link w:val="FooterChar"/>
    <w:uiPriority w:val="99"/>
    <w:unhideWhenUsed/>
    <w:rsid w:val="008F4E09"/>
    <w:pPr>
      <w:tabs>
        <w:tab w:val="center" w:pos="4536"/>
        <w:tab w:val="right" w:pos="9072"/>
      </w:tabs>
      <w:spacing w:after="0" w:line="240" w:lineRule="auto"/>
    </w:pPr>
  </w:style>
  <w:style w:type="character" w:customStyle="1" w:styleId="FooterChar">
    <w:name w:val="Footer Char"/>
    <w:basedOn w:val="DefaultParagraphFont"/>
    <w:link w:val="Footer"/>
    <w:uiPriority w:val="99"/>
    <w:rsid w:val="008F4E09"/>
    <w:rPr>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745D"/>
    <w:pPr>
      <w:ind w:left="720"/>
      <w:contextualSpacing/>
    </w:pPr>
  </w:style>
  <w:style w:type="paragraph" w:styleId="Header">
    <w:name w:val="header"/>
    <w:basedOn w:val="Normal"/>
    <w:link w:val="HeaderChar"/>
    <w:uiPriority w:val="99"/>
    <w:unhideWhenUsed/>
    <w:rsid w:val="008F4E09"/>
    <w:pPr>
      <w:tabs>
        <w:tab w:val="center" w:pos="4536"/>
        <w:tab w:val="right" w:pos="9072"/>
      </w:tabs>
      <w:spacing w:after="0" w:line="240" w:lineRule="auto"/>
    </w:pPr>
  </w:style>
  <w:style w:type="character" w:customStyle="1" w:styleId="HeaderChar">
    <w:name w:val="Header Char"/>
    <w:basedOn w:val="DefaultParagraphFont"/>
    <w:link w:val="Header"/>
    <w:uiPriority w:val="99"/>
    <w:rsid w:val="008F4E09"/>
    <w:rPr>
      <w:noProof/>
    </w:rPr>
  </w:style>
  <w:style w:type="paragraph" w:styleId="Footer">
    <w:name w:val="footer"/>
    <w:basedOn w:val="Normal"/>
    <w:link w:val="FooterChar"/>
    <w:uiPriority w:val="99"/>
    <w:unhideWhenUsed/>
    <w:rsid w:val="008F4E09"/>
    <w:pPr>
      <w:tabs>
        <w:tab w:val="center" w:pos="4536"/>
        <w:tab w:val="right" w:pos="9072"/>
      </w:tabs>
      <w:spacing w:after="0" w:line="240" w:lineRule="auto"/>
    </w:pPr>
  </w:style>
  <w:style w:type="character" w:customStyle="1" w:styleId="FooterChar">
    <w:name w:val="Footer Char"/>
    <w:basedOn w:val="DefaultParagraphFont"/>
    <w:link w:val="Footer"/>
    <w:uiPriority w:val="99"/>
    <w:rsid w:val="008F4E09"/>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480</Words>
  <Characters>2738</Characters>
  <Application>Microsoft Office Word</Application>
  <DocSecurity>0</DocSecurity>
  <Lines>22</Lines>
  <Paragraphs>6</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3212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Radek Netušil</dc:creator>
  <cp:lastModifiedBy>Swetha Sandala</cp:lastModifiedBy>
  <cp:revision>3</cp:revision>
  <dcterms:created xsi:type="dcterms:W3CDTF">2022-07-18T05:40:00Z</dcterms:created>
  <dcterms:modified xsi:type="dcterms:W3CDTF">2022-07-19T11:54:00Z</dcterms:modified>
</cp:coreProperties>
</file>