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0B9E" w:rsidRDefault="00240B9E">
      <w:pPr>
        <w:rPr>
          <w:rFonts w:ascii="Times New Roman" w:hAnsi="Times New Roman" w:cs="Times New Roman"/>
          <w:b/>
          <w:sz w:val="32"/>
        </w:rPr>
      </w:pPr>
      <w:commentRangeStart w:id="0"/>
      <w:r w:rsidRPr="00240B9E">
        <w:rPr>
          <w:rFonts w:ascii="Times New Roman" w:hAnsi="Times New Roman" w:cs="Times New Roman"/>
          <w:b/>
          <w:sz w:val="32"/>
        </w:rPr>
        <w:t xml:space="preserve">Differential composition of </w:t>
      </w:r>
      <w:proofErr w:type="spellStart"/>
      <w:r w:rsidRPr="00240B9E">
        <w:rPr>
          <w:rFonts w:ascii="Times New Roman" w:hAnsi="Times New Roman" w:cs="Times New Roman"/>
          <w:b/>
          <w:sz w:val="32"/>
        </w:rPr>
        <w:t>epicuticular</w:t>
      </w:r>
      <w:proofErr w:type="spellEnd"/>
      <w:r w:rsidRPr="00240B9E">
        <w:rPr>
          <w:rFonts w:ascii="Times New Roman" w:hAnsi="Times New Roman" w:cs="Times New Roman"/>
          <w:b/>
          <w:sz w:val="32"/>
        </w:rPr>
        <w:t xml:space="preserve"> waxes in wild and domesticated barley affects leaf physiology and plant-herbivore interactions</w:t>
      </w:r>
      <w:commentRangeEnd w:id="0"/>
      <w:r w:rsidR="005973E3">
        <w:rPr>
          <w:rStyle w:val="CommentReference"/>
        </w:rPr>
        <w:commentReference w:id="0"/>
      </w:r>
    </w:p>
    <w:p w:rsidR="00240B9E" w:rsidRDefault="00240B9E">
      <w:pPr>
        <w:rPr>
          <w:rFonts w:ascii="Times New Roman" w:hAnsi="Times New Roman" w:cs="Times New Roman"/>
          <w:sz w:val="24"/>
        </w:rPr>
      </w:pPr>
      <w:proofErr w:type="spellStart"/>
      <w:r w:rsidRPr="00240B9E">
        <w:rPr>
          <w:rFonts w:ascii="Times New Roman" w:hAnsi="Times New Roman" w:cs="Times New Roman"/>
          <w:sz w:val="24"/>
        </w:rPr>
        <w:t>Hagai</w:t>
      </w:r>
      <w:proofErr w:type="spellEnd"/>
      <w:r w:rsidRPr="00240B9E">
        <w:rPr>
          <w:rFonts w:ascii="Times New Roman" w:hAnsi="Times New Roman" w:cs="Times New Roman"/>
          <w:sz w:val="24"/>
        </w:rPr>
        <w:t xml:space="preserve"> Cohen</w:t>
      </w:r>
    </w:p>
    <w:p w:rsidR="00240B9E" w:rsidRDefault="00240B9E">
      <w:pPr>
        <w:rPr>
          <w:rFonts w:ascii="Times New Roman" w:hAnsi="Times New Roman" w:cs="Times New Roman"/>
        </w:rPr>
      </w:pPr>
      <w:r w:rsidRPr="00240B9E">
        <w:rPr>
          <w:rFonts w:ascii="Times New Roman" w:hAnsi="Times New Roman" w:cs="Times New Roman"/>
        </w:rPr>
        <w:t>Agricultural Research Organization (ARO), Israel</w:t>
      </w:r>
      <w:bookmarkStart w:id="1" w:name="_GoBack"/>
      <w:bookmarkEnd w:id="1"/>
    </w:p>
    <w:p w:rsidR="00240B9E" w:rsidRPr="00240B9E" w:rsidRDefault="00240B9E" w:rsidP="00240B9E">
      <w:pPr>
        <w:jc w:val="center"/>
        <w:rPr>
          <w:rFonts w:ascii="Times New Roman" w:hAnsi="Times New Roman" w:cs="Times New Roman"/>
          <w:b/>
          <w:sz w:val="24"/>
        </w:rPr>
      </w:pPr>
      <w:r w:rsidRPr="00240B9E">
        <w:rPr>
          <w:rFonts w:ascii="Times New Roman" w:hAnsi="Times New Roman" w:cs="Times New Roman"/>
          <w:b/>
          <w:sz w:val="24"/>
        </w:rPr>
        <w:t>Abstract</w:t>
      </w:r>
    </w:p>
    <w:p w:rsidR="00240B9E" w:rsidRDefault="00240B9E" w:rsidP="00240B9E">
      <w:pPr>
        <w:jc w:val="both"/>
        <w:rPr>
          <w:rFonts w:ascii="Times New Roman" w:hAnsi="Times New Roman" w:cs="Times New Roman"/>
          <w:sz w:val="20"/>
        </w:rPr>
      </w:pPr>
      <w:r w:rsidRPr="00240B9E">
        <w:rPr>
          <w:rFonts w:ascii="Times New Roman" w:hAnsi="Times New Roman" w:cs="Times New Roman"/>
          <w:sz w:val="20"/>
        </w:rPr>
        <w:t>Barley (</w:t>
      </w:r>
      <w:proofErr w:type="spellStart"/>
      <w:r w:rsidRPr="00EA0F49">
        <w:rPr>
          <w:rFonts w:ascii="Times New Roman" w:hAnsi="Times New Roman" w:cs="Times New Roman"/>
          <w:i/>
          <w:sz w:val="20"/>
        </w:rPr>
        <w:t>Hordeum</w:t>
      </w:r>
      <w:proofErr w:type="spellEnd"/>
      <w:r w:rsidRPr="00EA0F49">
        <w:rPr>
          <w:rFonts w:ascii="Times New Roman" w:hAnsi="Times New Roman" w:cs="Times New Roman"/>
          <w:i/>
          <w:sz w:val="20"/>
        </w:rPr>
        <w:t xml:space="preserve"> </w:t>
      </w:r>
      <w:proofErr w:type="spellStart"/>
      <w:r w:rsidRPr="00EA0F49">
        <w:rPr>
          <w:rFonts w:ascii="Times New Roman" w:hAnsi="Times New Roman" w:cs="Times New Roman"/>
          <w:i/>
          <w:sz w:val="20"/>
        </w:rPr>
        <w:t>vulgare</w:t>
      </w:r>
      <w:proofErr w:type="spellEnd"/>
      <w:r w:rsidRPr="00240B9E">
        <w:rPr>
          <w:rFonts w:ascii="Times New Roman" w:hAnsi="Times New Roman" w:cs="Times New Roman"/>
          <w:sz w:val="20"/>
        </w:rPr>
        <w:t xml:space="preserve">) is an important agricultural cereal crop, however due to extensive breeding, domesticated cultivars are characterized with altered physiology and partial/complete loss of stress tolerance. Herein, we investigated whether differential compositions of </w:t>
      </w:r>
      <w:proofErr w:type="spellStart"/>
      <w:r w:rsidR="00EA0F49" w:rsidRPr="00240B9E">
        <w:rPr>
          <w:rFonts w:ascii="Times New Roman" w:hAnsi="Times New Roman" w:cs="Times New Roman"/>
          <w:sz w:val="20"/>
        </w:rPr>
        <w:t>Epicuticular</w:t>
      </w:r>
      <w:proofErr w:type="spellEnd"/>
      <w:r w:rsidR="00EA0F49" w:rsidRPr="00240B9E">
        <w:rPr>
          <w:rFonts w:ascii="Times New Roman" w:hAnsi="Times New Roman" w:cs="Times New Roman"/>
          <w:sz w:val="20"/>
        </w:rPr>
        <w:t xml:space="preserve"> Waxes </w:t>
      </w:r>
      <w:r w:rsidRPr="00240B9E">
        <w:rPr>
          <w:rFonts w:ascii="Times New Roman" w:hAnsi="Times New Roman" w:cs="Times New Roman"/>
          <w:sz w:val="20"/>
        </w:rPr>
        <w:t xml:space="preserve">(EW) in wild and domesticated barely affect leaf physiology and interactions with herbivores. Metabolite profiling of the two cultivars for their EW compositions via Gas Chromatography-Mass Spectrometry (GC-MS) revealed that wild barley leaves accumulate ~33% more waxes compared to leaves of the domesticated cultivar, as also inferred by Scanning Electron Microscopy (SEM) of leaf surfaces. It seems that the higher wax loads detected in wild barley are attributed to higher levels of primary alcohols, the predominant wax constituents of barely leaves. EW are known to minimize water loss through transpiration, yet measurements suggested that wild barley transpire at higher rates, likely as its leaves are ~20% more densely covered by stomata. Photosynthetic evaluations performed by Li-COR indicated that domesticated barley exhibit higher rates of carbon assimilation and </w:t>
      </w:r>
      <w:proofErr w:type="spellStart"/>
      <w:r w:rsidRPr="00240B9E">
        <w:rPr>
          <w:rFonts w:ascii="Times New Roman" w:hAnsi="Times New Roman" w:cs="Times New Roman"/>
          <w:sz w:val="20"/>
        </w:rPr>
        <w:t>stomatal</w:t>
      </w:r>
      <w:proofErr w:type="spellEnd"/>
      <w:r w:rsidRPr="00240B9E">
        <w:rPr>
          <w:rFonts w:ascii="Times New Roman" w:hAnsi="Times New Roman" w:cs="Times New Roman"/>
          <w:sz w:val="20"/>
        </w:rPr>
        <w:t xml:space="preserve"> conductance in response to increased light intensities. Finally, barley EW </w:t>
      </w:r>
      <w:r w:rsidR="00EA0F49" w:rsidRPr="00240B9E">
        <w:rPr>
          <w:rFonts w:ascii="Times New Roman" w:hAnsi="Times New Roman" w:cs="Times New Roman"/>
          <w:sz w:val="20"/>
        </w:rPr>
        <w:t>was</w:t>
      </w:r>
      <w:r w:rsidRPr="00240B9E">
        <w:rPr>
          <w:rFonts w:ascii="Times New Roman" w:hAnsi="Times New Roman" w:cs="Times New Roman"/>
          <w:sz w:val="20"/>
        </w:rPr>
        <w:t xml:space="preserve"> previously suggested as important determinants of plant-herbivore interactions, and thus, we fed tobacco cutworm (</w:t>
      </w:r>
      <w:proofErr w:type="spellStart"/>
      <w:r w:rsidRPr="00EA0F49">
        <w:rPr>
          <w:rFonts w:ascii="Times New Roman" w:hAnsi="Times New Roman" w:cs="Times New Roman"/>
          <w:i/>
          <w:sz w:val="20"/>
        </w:rPr>
        <w:t>Spodoptera</w:t>
      </w:r>
      <w:proofErr w:type="spellEnd"/>
      <w:r w:rsidRPr="00EA0F49">
        <w:rPr>
          <w:rFonts w:ascii="Times New Roman" w:hAnsi="Times New Roman" w:cs="Times New Roman"/>
          <w:i/>
          <w:sz w:val="20"/>
        </w:rPr>
        <w:t xml:space="preserve"> </w:t>
      </w:r>
      <w:proofErr w:type="spellStart"/>
      <w:r w:rsidRPr="00EA0F49">
        <w:rPr>
          <w:rFonts w:ascii="Times New Roman" w:hAnsi="Times New Roman" w:cs="Times New Roman"/>
          <w:i/>
          <w:sz w:val="20"/>
        </w:rPr>
        <w:t>litura</w:t>
      </w:r>
      <w:proofErr w:type="spellEnd"/>
      <w:r w:rsidRPr="00240B9E">
        <w:rPr>
          <w:rFonts w:ascii="Times New Roman" w:hAnsi="Times New Roman" w:cs="Times New Roman"/>
          <w:sz w:val="20"/>
        </w:rPr>
        <w:t>) larva with leaves belonging to the two cultivars. These demonstrated that ~42% more surface areas of domesticated leaves were eaten compared to wild leaves, suggesting that higher EW loads and density apparently interfere with the feeding process of larva. Altogether, our findings provide insight to the importance of EW in leaf physiology and interactions with the environment.</w:t>
      </w:r>
    </w:p>
    <w:p w:rsidR="00240B9E" w:rsidRDefault="00240B9E" w:rsidP="00240B9E">
      <w:pPr>
        <w:rPr>
          <w:rFonts w:ascii="Times New Roman" w:hAnsi="Times New Roman" w:cs="Times New Roman"/>
          <w:b/>
          <w:sz w:val="24"/>
        </w:rPr>
      </w:pPr>
      <w:r w:rsidRPr="00240B9E">
        <w:rPr>
          <w:rFonts w:ascii="Times New Roman" w:hAnsi="Times New Roman" w:cs="Times New Roman"/>
          <w:b/>
          <w:sz w:val="24"/>
        </w:rPr>
        <w:t>Biography</w:t>
      </w:r>
    </w:p>
    <w:p w:rsidR="00240B9E" w:rsidRPr="00240B9E" w:rsidRDefault="00EA0F49" w:rsidP="00240B9E">
      <w:pPr>
        <w:jc w:val="both"/>
        <w:rPr>
          <w:rFonts w:ascii="Times New Roman" w:hAnsi="Times New Roman" w:cs="Times New Roman"/>
          <w:sz w:val="20"/>
        </w:rPr>
      </w:pPr>
      <w:proofErr w:type="spellStart"/>
      <w:r>
        <w:rPr>
          <w:rFonts w:ascii="Times New Roman" w:hAnsi="Times New Roman" w:cs="Times New Roman"/>
          <w:sz w:val="20"/>
        </w:rPr>
        <w:t>Hagai</w:t>
      </w:r>
      <w:proofErr w:type="spellEnd"/>
      <w:r>
        <w:rPr>
          <w:rFonts w:ascii="Times New Roman" w:hAnsi="Times New Roman" w:cs="Times New Roman"/>
          <w:sz w:val="20"/>
        </w:rPr>
        <w:t xml:space="preserve"> Cohen obtained his PhD</w:t>
      </w:r>
      <w:r w:rsidR="00240B9E" w:rsidRPr="00240B9E">
        <w:rPr>
          <w:rFonts w:ascii="Times New Roman" w:hAnsi="Times New Roman" w:cs="Times New Roman"/>
          <w:sz w:val="20"/>
        </w:rPr>
        <w:t xml:space="preserve"> in Plant Molecular Biology in the Faculty of Biology at the </w:t>
      </w:r>
      <w:proofErr w:type="spellStart"/>
      <w:r w:rsidR="00240B9E" w:rsidRPr="00240B9E">
        <w:rPr>
          <w:rFonts w:ascii="Times New Roman" w:hAnsi="Times New Roman" w:cs="Times New Roman"/>
          <w:sz w:val="20"/>
        </w:rPr>
        <w:t>Technion</w:t>
      </w:r>
      <w:proofErr w:type="spellEnd"/>
      <w:r w:rsidR="00240B9E" w:rsidRPr="00240B9E">
        <w:rPr>
          <w:rFonts w:ascii="Times New Roman" w:hAnsi="Times New Roman" w:cs="Times New Roman"/>
          <w:sz w:val="20"/>
        </w:rPr>
        <w:t xml:space="preserve"> – Israel Institute of Technology, Israel, investigating the regulatory metabolic pathways involved in amino acid biosynthesis in plant seeds. It is then where he started to focus on metabolism in plants. During his Postdoctoral Fellowship at the Weizmann Institute of Science, Israel, he investigated the metabolic pathways leading to the formation of lipophilic barriers in plants such as </w:t>
      </w:r>
      <w:proofErr w:type="spellStart"/>
      <w:r w:rsidR="00240B9E" w:rsidRPr="00240B9E">
        <w:rPr>
          <w:rFonts w:ascii="Times New Roman" w:hAnsi="Times New Roman" w:cs="Times New Roman"/>
          <w:sz w:val="20"/>
        </w:rPr>
        <w:t>epicuticular</w:t>
      </w:r>
      <w:proofErr w:type="spellEnd"/>
      <w:r w:rsidR="00240B9E" w:rsidRPr="00240B9E">
        <w:rPr>
          <w:rFonts w:ascii="Times New Roman" w:hAnsi="Times New Roman" w:cs="Times New Roman"/>
          <w:sz w:val="20"/>
        </w:rPr>
        <w:t xml:space="preserve"> waxes, </w:t>
      </w:r>
      <w:proofErr w:type="spellStart"/>
      <w:r w:rsidR="00240B9E" w:rsidRPr="00240B9E">
        <w:rPr>
          <w:rFonts w:ascii="Times New Roman" w:hAnsi="Times New Roman" w:cs="Times New Roman"/>
          <w:sz w:val="20"/>
        </w:rPr>
        <w:t>cutin</w:t>
      </w:r>
      <w:proofErr w:type="spellEnd"/>
      <w:r w:rsidR="00240B9E" w:rsidRPr="00240B9E">
        <w:rPr>
          <w:rFonts w:ascii="Times New Roman" w:hAnsi="Times New Roman" w:cs="Times New Roman"/>
          <w:sz w:val="20"/>
        </w:rPr>
        <w:t xml:space="preserve">, </w:t>
      </w:r>
      <w:proofErr w:type="spellStart"/>
      <w:r w:rsidR="00240B9E" w:rsidRPr="00240B9E">
        <w:rPr>
          <w:rFonts w:ascii="Times New Roman" w:hAnsi="Times New Roman" w:cs="Times New Roman"/>
          <w:sz w:val="20"/>
        </w:rPr>
        <w:t>suberin</w:t>
      </w:r>
      <w:proofErr w:type="spellEnd"/>
      <w:r w:rsidR="00240B9E" w:rsidRPr="00240B9E">
        <w:rPr>
          <w:rFonts w:ascii="Times New Roman" w:hAnsi="Times New Roman" w:cs="Times New Roman"/>
          <w:sz w:val="20"/>
        </w:rPr>
        <w:t xml:space="preserve"> and lignin. In early 2020, he opened his independent laboratory as a Principal Investigator in the Department of Vegetable and Field Crops, the Institute of Plant science at the Agricultur</w:t>
      </w:r>
      <w:r w:rsidR="004A2A01">
        <w:rPr>
          <w:rFonts w:ascii="Times New Roman" w:hAnsi="Times New Roman" w:cs="Times New Roman"/>
          <w:sz w:val="20"/>
        </w:rPr>
        <w:t xml:space="preserve">al Research Organization (ARO), </w:t>
      </w:r>
      <w:proofErr w:type="spellStart"/>
      <w:r w:rsidR="00240B9E" w:rsidRPr="00240B9E">
        <w:rPr>
          <w:rFonts w:ascii="Times New Roman" w:hAnsi="Times New Roman" w:cs="Times New Roman"/>
          <w:sz w:val="20"/>
        </w:rPr>
        <w:t>Volcani</w:t>
      </w:r>
      <w:proofErr w:type="spellEnd"/>
      <w:r w:rsidR="00240B9E" w:rsidRPr="00240B9E">
        <w:rPr>
          <w:rFonts w:ascii="Times New Roman" w:hAnsi="Times New Roman" w:cs="Times New Roman"/>
          <w:sz w:val="20"/>
        </w:rPr>
        <w:t xml:space="preserve"> Center, Israel. His group is interested in elucidating various aspects of interactions between plant surfaces and pathogens, with a particular focus on metabolic networks operating on the course of pathogenic attack and invasion.</w:t>
      </w:r>
      <w:r w:rsidR="00654712">
        <w:rPr>
          <w:rFonts w:ascii="Times New Roman" w:hAnsi="Times New Roman" w:cs="Times New Roman"/>
          <w:sz w:val="20"/>
        </w:rPr>
        <w:t xml:space="preserve"> </w:t>
      </w:r>
    </w:p>
    <w:p w:rsidR="00240B9E" w:rsidRPr="00240B9E" w:rsidRDefault="00240B9E">
      <w:pPr>
        <w:rPr>
          <w:rFonts w:ascii="Times New Roman" w:hAnsi="Times New Roman" w:cs="Times New Roman"/>
        </w:rPr>
      </w:pPr>
    </w:p>
    <w:sectPr w:rsidR="00240B9E" w:rsidRPr="00240B9E">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08T17:06:00Z" w:initials="SS">
    <w:p w:rsidR="005973E3" w:rsidRDefault="005973E3">
      <w:pPr>
        <w:pStyle w:val="CommentText"/>
      </w:pPr>
      <w:r>
        <w:rPr>
          <w:rStyle w:val="CommentReference"/>
        </w:rPr>
        <w:annotationRef/>
      </w:r>
      <w:r>
        <w:t>Already published. Please find the below link for your reference.</w:t>
      </w:r>
    </w:p>
    <w:p w:rsidR="005973E3" w:rsidRDefault="005973E3">
      <w:pPr>
        <w:pStyle w:val="CommentText"/>
      </w:pPr>
    </w:p>
    <w:p w:rsidR="005973E3" w:rsidRDefault="005973E3" w:rsidP="005973E3">
      <w:pPr>
        <w:pStyle w:val="CommentText"/>
        <w:numPr>
          <w:ilvl w:val="0"/>
          <w:numId w:val="1"/>
        </w:numPr>
      </w:pPr>
      <w:hyperlink r:id="rId1" w:history="1">
        <w:r w:rsidRPr="00915E03">
          <w:rPr>
            <w:rStyle w:val="Hyperlink"/>
          </w:rPr>
          <w:t>https://plantbiologyconference.com/program/scientific-program/2022/differential-composition-of-epicuticular-waxes-in-wild-and-domesticated-barley-affects-leaf-physiology-and-plant-herbivore-interactions</w:t>
        </w:r>
      </w:hyperlink>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444717"/>
    <w:multiLevelType w:val="hybridMultilevel"/>
    <w:tmpl w:val="E3223C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0B9E"/>
    <w:rsid w:val="0006381A"/>
    <w:rsid w:val="00231DF0"/>
    <w:rsid w:val="00240B9E"/>
    <w:rsid w:val="004A2A01"/>
    <w:rsid w:val="005973E3"/>
    <w:rsid w:val="00654712"/>
    <w:rsid w:val="00EA0F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973E3"/>
    <w:rPr>
      <w:sz w:val="16"/>
      <w:szCs w:val="16"/>
    </w:rPr>
  </w:style>
  <w:style w:type="paragraph" w:styleId="CommentText">
    <w:name w:val="annotation text"/>
    <w:basedOn w:val="Normal"/>
    <w:link w:val="CommentTextChar"/>
    <w:uiPriority w:val="99"/>
    <w:semiHidden/>
    <w:unhideWhenUsed/>
    <w:rsid w:val="005973E3"/>
    <w:pPr>
      <w:spacing w:line="240" w:lineRule="auto"/>
    </w:pPr>
    <w:rPr>
      <w:sz w:val="20"/>
      <w:szCs w:val="20"/>
    </w:rPr>
  </w:style>
  <w:style w:type="character" w:customStyle="1" w:styleId="CommentTextChar">
    <w:name w:val="Comment Text Char"/>
    <w:basedOn w:val="DefaultParagraphFont"/>
    <w:link w:val="CommentText"/>
    <w:uiPriority w:val="99"/>
    <w:semiHidden/>
    <w:rsid w:val="005973E3"/>
    <w:rPr>
      <w:sz w:val="20"/>
      <w:szCs w:val="20"/>
    </w:rPr>
  </w:style>
  <w:style w:type="paragraph" w:styleId="CommentSubject">
    <w:name w:val="annotation subject"/>
    <w:basedOn w:val="CommentText"/>
    <w:next w:val="CommentText"/>
    <w:link w:val="CommentSubjectChar"/>
    <w:uiPriority w:val="99"/>
    <w:semiHidden/>
    <w:unhideWhenUsed/>
    <w:rsid w:val="005973E3"/>
    <w:rPr>
      <w:b/>
      <w:bCs/>
    </w:rPr>
  </w:style>
  <w:style w:type="character" w:customStyle="1" w:styleId="CommentSubjectChar">
    <w:name w:val="Comment Subject Char"/>
    <w:basedOn w:val="CommentTextChar"/>
    <w:link w:val="CommentSubject"/>
    <w:uiPriority w:val="99"/>
    <w:semiHidden/>
    <w:rsid w:val="005973E3"/>
    <w:rPr>
      <w:b/>
      <w:bCs/>
      <w:sz w:val="20"/>
      <w:szCs w:val="20"/>
    </w:rPr>
  </w:style>
  <w:style w:type="paragraph" w:styleId="BalloonText">
    <w:name w:val="Balloon Text"/>
    <w:basedOn w:val="Normal"/>
    <w:link w:val="BalloonTextChar"/>
    <w:uiPriority w:val="99"/>
    <w:semiHidden/>
    <w:unhideWhenUsed/>
    <w:rsid w:val="005973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73E3"/>
    <w:rPr>
      <w:rFonts w:ascii="Tahoma" w:hAnsi="Tahoma" w:cs="Tahoma"/>
      <w:sz w:val="16"/>
      <w:szCs w:val="16"/>
    </w:rPr>
  </w:style>
  <w:style w:type="character" w:styleId="Hyperlink">
    <w:name w:val="Hyperlink"/>
    <w:basedOn w:val="DefaultParagraphFont"/>
    <w:uiPriority w:val="99"/>
    <w:unhideWhenUsed/>
    <w:rsid w:val="005973E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973E3"/>
    <w:rPr>
      <w:sz w:val="16"/>
      <w:szCs w:val="16"/>
    </w:rPr>
  </w:style>
  <w:style w:type="paragraph" w:styleId="CommentText">
    <w:name w:val="annotation text"/>
    <w:basedOn w:val="Normal"/>
    <w:link w:val="CommentTextChar"/>
    <w:uiPriority w:val="99"/>
    <w:semiHidden/>
    <w:unhideWhenUsed/>
    <w:rsid w:val="005973E3"/>
    <w:pPr>
      <w:spacing w:line="240" w:lineRule="auto"/>
    </w:pPr>
    <w:rPr>
      <w:sz w:val="20"/>
      <w:szCs w:val="20"/>
    </w:rPr>
  </w:style>
  <w:style w:type="character" w:customStyle="1" w:styleId="CommentTextChar">
    <w:name w:val="Comment Text Char"/>
    <w:basedOn w:val="DefaultParagraphFont"/>
    <w:link w:val="CommentText"/>
    <w:uiPriority w:val="99"/>
    <w:semiHidden/>
    <w:rsid w:val="005973E3"/>
    <w:rPr>
      <w:sz w:val="20"/>
      <w:szCs w:val="20"/>
    </w:rPr>
  </w:style>
  <w:style w:type="paragraph" w:styleId="CommentSubject">
    <w:name w:val="annotation subject"/>
    <w:basedOn w:val="CommentText"/>
    <w:next w:val="CommentText"/>
    <w:link w:val="CommentSubjectChar"/>
    <w:uiPriority w:val="99"/>
    <w:semiHidden/>
    <w:unhideWhenUsed/>
    <w:rsid w:val="005973E3"/>
    <w:rPr>
      <w:b/>
      <w:bCs/>
    </w:rPr>
  </w:style>
  <w:style w:type="character" w:customStyle="1" w:styleId="CommentSubjectChar">
    <w:name w:val="Comment Subject Char"/>
    <w:basedOn w:val="CommentTextChar"/>
    <w:link w:val="CommentSubject"/>
    <w:uiPriority w:val="99"/>
    <w:semiHidden/>
    <w:rsid w:val="005973E3"/>
    <w:rPr>
      <w:b/>
      <w:bCs/>
      <w:sz w:val="20"/>
      <w:szCs w:val="20"/>
    </w:rPr>
  </w:style>
  <w:style w:type="paragraph" w:styleId="BalloonText">
    <w:name w:val="Balloon Text"/>
    <w:basedOn w:val="Normal"/>
    <w:link w:val="BalloonTextChar"/>
    <w:uiPriority w:val="99"/>
    <w:semiHidden/>
    <w:unhideWhenUsed/>
    <w:rsid w:val="005973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73E3"/>
    <w:rPr>
      <w:rFonts w:ascii="Tahoma" w:hAnsi="Tahoma" w:cs="Tahoma"/>
      <w:sz w:val="16"/>
      <w:szCs w:val="16"/>
    </w:rPr>
  </w:style>
  <w:style w:type="character" w:styleId="Hyperlink">
    <w:name w:val="Hyperlink"/>
    <w:basedOn w:val="DefaultParagraphFont"/>
    <w:uiPriority w:val="99"/>
    <w:unhideWhenUsed/>
    <w:rsid w:val="005973E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plantbiologyconference.com/program/scientific-program/2022/differential-composition-of-epicuticular-waxes-in-wild-and-domesticated-barley-affects-leaf-physiology-and-plant-herbivore-interactions"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443</Words>
  <Characters>2531</Characters>
  <Application>Microsoft Office Word</Application>
  <DocSecurity>0</DocSecurity>
  <Lines>21</Lines>
  <Paragraphs>5</Paragraphs>
  <ScaleCrop>false</ScaleCrop>
  <Company/>
  <LinksUpToDate>false</LinksUpToDate>
  <CharactersWithSpaces>2969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6</cp:revision>
  <dcterms:created xsi:type="dcterms:W3CDTF">2022-06-08T11:28:00Z</dcterms:created>
  <dcterms:modified xsi:type="dcterms:W3CDTF">2022-06-08T11:36:00Z</dcterms:modified>
</cp:coreProperties>
</file>