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Default="00B22A31" w:rsidP="00DD3886">
      <w:pPr>
        <w:jc w:val="both"/>
        <w:rPr>
          <w:rFonts w:eastAsia="MS PGothic"/>
          <w:b/>
          <w:color w:val="000000"/>
          <w:sz w:val="28"/>
          <w:szCs w:val="28"/>
        </w:rPr>
      </w:pPr>
      <w:r>
        <w:rPr>
          <w:noProof/>
          <w:lang w:val="en-IN" w:eastAsia="en-IN"/>
        </w:rPr>
        <w:drawing>
          <wp:anchor distT="0" distB="0" distL="114300" distR="114300" simplePos="0" relativeHeight="251657728" behindDoc="0" locked="0" layoutInCell="1" allowOverlap="1">
            <wp:simplePos x="0" y="0"/>
            <wp:positionH relativeFrom="column">
              <wp:posOffset>4779010</wp:posOffset>
            </wp:positionH>
            <wp:positionV relativeFrom="paragraph">
              <wp:posOffset>81280</wp:posOffset>
            </wp:positionV>
            <wp:extent cx="1227455" cy="1360170"/>
            <wp:effectExtent l="0" t="0" r="0" b="0"/>
            <wp:wrapSquare wrapText="bothSides"/>
            <wp:docPr id="2" name="Picture 2" descr="Such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chko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7455" cy="13601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3886" w:rsidRPr="00DD3886">
        <w:rPr>
          <w:rFonts w:eastAsia="MS PGothic"/>
          <w:b/>
          <w:color w:val="000000"/>
          <w:sz w:val="28"/>
          <w:szCs w:val="28"/>
        </w:rPr>
        <w:t>Personalized and Precision Medicine (PPM) as a Unique Healthcare Model to Secure the</w:t>
      </w:r>
      <w:r w:rsidR="00DD3886">
        <w:rPr>
          <w:rFonts w:eastAsia="MS PGothic"/>
          <w:b/>
          <w:color w:val="000000"/>
          <w:sz w:val="28"/>
          <w:szCs w:val="28"/>
        </w:rPr>
        <w:t xml:space="preserve"> </w:t>
      </w:r>
      <w:r w:rsidR="00DD3886" w:rsidRPr="00DD3886">
        <w:rPr>
          <w:rFonts w:eastAsia="MS PGothic"/>
          <w:b/>
          <w:color w:val="000000"/>
          <w:sz w:val="28"/>
          <w:szCs w:val="28"/>
        </w:rPr>
        <w:t>Human Healthcare, Wellness and Biosafety through The View of Public Health</w:t>
      </w:r>
    </w:p>
    <w:p w:rsidR="00DD3886" w:rsidRPr="00DD3886" w:rsidRDefault="00DD3886" w:rsidP="00DD3886">
      <w:pPr>
        <w:spacing w:after="60"/>
        <w:jc w:val="center"/>
        <w:rPr>
          <w:rFonts w:eastAsia="Calibri"/>
          <w:b/>
          <w:sz w:val="20"/>
          <w:szCs w:val="20"/>
          <w:lang w:val="en-US" w:eastAsia="en-US"/>
        </w:rPr>
      </w:pPr>
      <w:r w:rsidRPr="00DD3886">
        <w:rPr>
          <w:rFonts w:eastAsia="Calibri"/>
          <w:b/>
          <w:sz w:val="20"/>
          <w:szCs w:val="20"/>
          <w:lang w:val="en-US" w:eastAsia="en-US"/>
        </w:rPr>
        <w:t xml:space="preserve">Sergey </w:t>
      </w:r>
      <w:proofErr w:type="spellStart"/>
      <w:r w:rsidRPr="00DD3886">
        <w:rPr>
          <w:rFonts w:eastAsia="Calibri"/>
          <w:b/>
          <w:sz w:val="20"/>
          <w:szCs w:val="20"/>
          <w:lang w:val="en-US" w:eastAsia="en-US"/>
        </w:rPr>
        <w:t>Suchkov</w:t>
      </w:r>
      <w:proofErr w:type="spellEnd"/>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lang w:val="en-US" w:eastAsia="en-US"/>
        </w:rPr>
        <w:t>Institute for Global Health of MGUPP</w:t>
      </w:r>
      <w:proofErr w:type="gramStart"/>
      <w:r w:rsidRPr="00DD3886">
        <w:rPr>
          <w:rFonts w:eastAsia="Calibri"/>
          <w:sz w:val="16"/>
          <w:szCs w:val="16"/>
          <w:lang w:val="en-US" w:eastAsia="en-US"/>
        </w:rPr>
        <w:t>,  Russia</w:t>
      </w:r>
      <w:proofErr w:type="gramEnd"/>
    </w:p>
    <w:p w:rsidR="00AC3BCD" w:rsidRPr="00DD3886" w:rsidRDefault="00AC3BCD" w:rsidP="00AC3BCD">
      <w:pPr>
        <w:jc w:val="center"/>
        <w:rPr>
          <w:rFonts w:eastAsia="Batang"/>
          <w:color w:val="0000FF"/>
          <w:sz w:val="8"/>
          <w:szCs w:val="8"/>
          <w:lang w:val="en-US"/>
        </w:rPr>
      </w:pPr>
    </w:p>
    <w:p w:rsidR="00DD3886" w:rsidRPr="00DD3886" w:rsidRDefault="00DD3886" w:rsidP="00DD3886">
      <w:pPr>
        <w:spacing w:after="60"/>
        <w:jc w:val="both"/>
        <w:rPr>
          <w:rFonts w:eastAsia="Calibri"/>
          <w:color w:val="000000"/>
          <w:sz w:val="20"/>
          <w:szCs w:val="20"/>
          <w:lang w:val="en-US" w:eastAsia="en-US"/>
        </w:rPr>
      </w:pPr>
      <w:r w:rsidRPr="00DD3886">
        <w:rPr>
          <w:rFonts w:eastAsia="Calibri"/>
          <w:color w:val="000000"/>
          <w:sz w:val="20"/>
          <w:szCs w:val="20"/>
          <w:lang w:val="en-US" w:eastAsia="en-US"/>
        </w:rPr>
        <w:t xml:space="preserve">Policy formation in the field of individual health promotion and protection is one of the priority tasks of national healthcare systems. </w:t>
      </w:r>
      <w:r w:rsidRPr="00DD3886">
        <w:rPr>
          <w:rFonts w:eastAsia="Calibri"/>
          <w:sz w:val="20"/>
          <w:szCs w:val="20"/>
          <w:lang w:val="en-US" w:eastAsia="en-US"/>
        </w:rPr>
        <w:t xml:space="preserve">Canonical health care is becoming increasingly unaffordable in most of the countries, yet it remains ineffective in preventing or effectively treating chronic diseases. </w:t>
      </w:r>
      <w:r w:rsidRPr="00DD3886">
        <w:rPr>
          <w:rFonts w:eastAsia="Calibri"/>
          <w:color w:val="000000"/>
          <w:sz w:val="20"/>
          <w:szCs w:val="20"/>
          <w:lang w:val="en-US" w:eastAsia="en-US"/>
        </w:rPr>
        <w:t xml:space="preserve">The medicine of the XXI century is </w:t>
      </w:r>
      <w:r w:rsidRPr="00DD3886">
        <w:rPr>
          <w:rFonts w:eastAsia="Calibri"/>
          <w:b/>
          <w:i/>
          <w:sz w:val="20"/>
          <w:szCs w:val="20"/>
          <w:lang w:val="en-US" w:eastAsia="en-US"/>
        </w:rPr>
        <w:t>Personalized &amp; Precision Medicine (PPM)</w:t>
      </w:r>
      <w:r w:rsidRPr="00DD3886">
        <w:rPr>
          <w:rFonts w:eastAsia="Calibri"/>
          <w:color w:val="000000"/>
          <w:sz w:val="20"/>
          <w:szCs w:val="20"/>
          <w:lang w:val="en-US" w:eastAsia="en-US"/>
        </w:rPr>
        <w:t>, by protecting and preserving human health throughout the life. In this regard, an upgraded model of healthcare service, which includes the philosophy, principles and armamentarium of PPM and aimed at ident</w:t>
      </w:r>
      <w:r w:rsidRPr="00DD3886">
        <w:rPr>
          <w:rFonts w:eastAsia="Calibri"/>
          <w:color w:val="000000"/>
          <w:sz w:val="20"/>
          <w:szCs w:val="20"/>
          <w:lang w:val="en-US" w:eastAsia="en-US"/>
        </w:rPr>
        <w:t>i</w:t>
      </w:r>
      <w:r w:rsidRPr="00DD3886">
        <w:rPr>
          <w:rFonts w:eastAsia="Calibri"/>
          <w:color w:val="000000"/>
          <w:sz w:val="20"/>
          <w:szCs w:val="20"/>
          <w:lang w:val="en-US" w:eastAsia="en-US"/>
        </w:rPr>
        <w:t>fying the disorder at its early (subclinical) stage, is being created and set up. PPM focuses on predictive and preventive measures that contribute to the development of individualized strategies for managing a healthy lifestyle that stabilize morbidity rates and can help to improve the working capacity of the population. To achieve the goals of value-based healthcare and the implement</w:t>
      </w:r>
      <w:r w:rsidRPr="00DD3886">
        <w:rPr>
          <w:rFonts w:eastAsia="Calibri"/>
          <w:color w:val="000000"/>
          <w:sz w:val="20"/>
          <w:szCs w:val="20"/>
          <w:lang w:val="en-US" w:eastAsia="en-US"/>
        </w:rPr>
        <w:t>a</w:t>
      </w:r>
      <w:r w:rsidRPr="00DD3886">
        <w:rPr>
          <w:rFonts w:eastAsia="Calibri"/>
          <w:color w:val="000000"/>
          <w:sz w:val="20"/>
          <w:szCs w:val="20"/>
          <w:lang w:val="en-US" w:eastAsia="en-US"/>
        </w:rPr>
        <w:t>tion of the PPM concept, it is necessary to combine the assets of the newest advances in basic science with clinical medicine, followed by the introduction and promotion of new generation’s translational a</w:t>
      </w:r>
      <w:r w:rsidRPr="00DD3886">
        <w:rPr>
          <w:rFonts w:eastAsia="Calibri"/>
          <w:color w:val="000000"/>
          <w:sz w:val="20"/>
          <w:szCs w:val="20"/>
          <w:lang w:val="en-US" w:eastAsia="en-US"/>
        </w:rPr>
        <w:t>p</w:t>
      </w:r>
      <w:r w:rsidRPr="00DD3886">
        <w:rPr>
          <w:rFonts w:eastAsia="Calibri"/>
          <w:color w:val="000000"/>
          <w:sz w:val="20"/>
          <w:szCs w:val="20"/>
          <w:lang w:val="en-US" w:eastAsia="en-US"/>
        </w:rPr>
        <w:t>plications.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 xml:space="preserve">Opportunities exist at every stage of disease initiation and progression to develop a </w:t>
      </w:r>
      <w:r w:rsidRPr="00DD3886">
        <w:rPr>
          <w:rFonts w:eastAsia="Calibri"/>
          <w:b/>
          <w:i/>
          <w:sz w:val="20"/>
          <w:szCs w:val="20"/>
          <w:lang w:val="en-US" w:eastAsia="en-US"/>
        </w:rPr>
        <w:t>Personalized Health Plan</w:t>
      </w:r>
      <w:r w:rsidRPr="00DD3886">
        <w:rPr>
          <w:rFonts w:eastAsia="Calibri"/>
          <w:sz w:val="20"/>
          <w:szCs w:val="20"/>
          <w:lang w:val="en-US" w:eastAsia="en-US"/>
        </w:rPr>
        <w:t xml:space="preserve"> </w:t>
      </w:r>
      <w:r w:rsidRPr="00DD3886">
        <w:rPr>
          <w:rFonts w:eastAsia="Calibri"/>
          <w:b/>
          <w:i/>
          <w:sz w:val="20"/>
          <w:szCs w:val="20"/>
          <w:lang w:val="en-US" w:eastAsia="en-US"/>
        </w:rPr>
        <w:t>(PHP)</w:t>
      </w:r>
      <w:r w:rsidRPr="00DD3886">
        <w:rPr>
          <w:rFonts w:eastAsia="Calibri"/>
          <w:sz w:val="20"/>
          <w:szCs w:val="20"/>
          <w:lang w:val="en-US" w:eastAsia="en-US"/>
        </w:rPr>
        <w:t xml:space="preserve"> addressing lifestyle, risk modification and disease management, and later, </w:t>
      </w:r>
      <w:r w:rsidRPr="00DD3886">
        <w:rPr>
          <w:rFonts w:eastAsia="Calibri"/>
          <w:b/>
          <w:i/>
          <w:sz w:val="20"/>
          <w:szCs w:val="20"/>
          <w:lang w:val="en-US" w:eastAsia="en-US"/>
        </w:rPr>
        <w:t xml:space="preserve">Personalized Health Management &amp; Wellness Program (PHM&amp;WP). </w:t>
      </w:r>
      <w:r w:rsidRPr="00DD3886">
        <w:rPr>
          <w:rFonts w:eastAsia="Calibri"/>
          <w:sz w:val="20"/>
          <w:szCs w:val="20"/>
          <w:lang w:val="en-US" w:eastAsia="en-US"/>
        </w:rPr>
        <w:t xml:space="preserve">So, a combination of genomic and phenome-related biomarkers is becoming of great significance to be applied in PPM and need to be translated into the daily practice to predict risks of the disease </w:t>
      </w:r>
      <w:proofErr w:type="spellStart"/>
      <w:r w:rsidRPr="00DD3886">
        <w:rPr>
          <w:rFonts w:eastAsia="Calibri"/>
          <w:sz w:val="20"/>
          <w:szCs w:val="20"/>
          <w:lang w:val="en-US" w:eastAsia="en-US"/>
        </w:rPr>
        <w:t>chronific</w:t>
      </w:r>
      <w:r w:rsidRPr="00DD3886">
        <w:rPr>
          <w:rFonts w:eastAsia="Calibri"/>
          <w:sz w:val="20"/>
          <w:szCs w:val="20"/>
          <w:lang w:val="en-US" w:eastAsia="en-US"/>
        </w:rPr>
        <w:t>a</w:t>
      </w:r>
      <w:r w:rsidRPr="00DD3886">
        <w:rPr>
          <w:rFonts w:eastAsia="Calibri"/>
          <w:sz w:val="20"/>
          <w:szCs w:val="20"/>
          <w:lang w:val="en-US" w:eastAsia="en-US"/>
        </w:rPr>
        <w:t>tion</w:t>
      </w:r>
      <w:proofErr w:type="spellEnd"/>
      <w:r w:rsidRPr="00DD3886">
        <w:rPr>
          <w:rFonts w:eastAsia="Calibri"/>
          <w:sz w:val="20"/>
          <w:szCs w:val="20"/>
          <w:lang w:val="en-US" w:eastAsia="en-US"/>
        </w:rPr>
        <w:t xml:space="preserve"> and thus of disabling.</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PPM has drastically changed and is keeping on changing the landscape of healthcare. In reality, PPM is the new revolution in medicine which is dramatically modifying the traditional paradigm in medicine with huge consequences for health care systems. And putting PPM-tools in a public health perspective requires an apprehension of the current and future public health challenges.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Due to our experience, a symbiotic relationship between public health and PPM may exist. And this approach will be possible only with the integration of data across levels of influence and analytic wisdom in using those data toward better identification of disease and lifestyle risks.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 xml:space="preserve">In this sense, all healthcare professionals of the future should be educated to deliver </w:t>
      </w:r>
      <w:r w:rsidRPr="00DD3886">
        <w:rPr>
          <w:rFonts w:eastAsia="Calibri"/>
          <w:b/>
          <w:i/>
          <w:sz w:val="20"/>
          <w:szCs w:val="20"/>
          <w:lang w:val="en-US" w:eastAsia="en-US"/>
        </w:rPr>
        <w:t>patient-centric care</w:t>
      </w:r>
      <w:r w:rsidRPr="00DD3886">
        <w:rPr>
          <w:rFonts w:eastAsia="Calibri"/>
          <w:sz w:val="20"/>
          <w:szCs w:val="20"/>
          <w:lang w:val="en-US" w:eastAsia="en-US"/>
        </w:rPr>
        <w:t xml:space="preserve"> as members of interdisciplinary teams, emphasizing evidence-based practice, quality improvement approaches and bioinformatics.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And thus greater collaboration between clinician and patient (or person-at-risk) would replace the traditional clinician-dominated dialogue with more effective patient-clinician partnerships. So, the current model “physician-patient” would have to be gradually displaced by a “medical advisor-healthy persons-at-risk” model. And biological and medical data from individuals can be analyzed with environmental data to determine the drivers of health and well-being. This approach mentioned should be based on postulates which will change the incarnate culture and social mentality!</w:t>
      </w:r>
    </w:p>
    <w:p w:rsidR="00DD3886" w:rsidRPr="00DD3886" w:rsidRDefault="00DD3886" w:rsidP="00DD3886">
      <w:pPr>
        <w:spacing w:after="60"/>
        <w:jc w:val="both"/>
        <w:rPr>
          <w:rFonts w:eastAsia="Calibri"/>
          <w:sz w:val="20"/>
          <w:szCs w:val="20"/>
          <w:lang w:val="en-US" w:eastAsia="en-US"/>
        </w:rPr>
      </w:pPr>
      <w:r w:rsidRPr="00DD3886">
        <w:rPr>
          <w:rFonts w:eastAsia="Calibri"/>
          <w:sz w:val="20"/>
          <w:szCs w:val="20"/>
          <w:lang w:val="en-US" w:eastAsia="en-US"/>
        </w:rPr>
        <w:t>The core functions of national and local government need to be strengthened, especially in relation to comprehensive understanding of the causes of the causes of inequities in health, participatory governance that engages and empowers individuals and communities and that adopt new roles in creating the conditions in which power is shared and health and well-being are co-produced with citizens and communities. It means concerted action by the range of individuals, agencies and all levels of government that can affect the social determinants of health, fostering whole-system approaches to addressing inequities in health.</w:t>
      </w:r>
    </w:p>
    <w:p w:rsidR="00DD3886" w:rsidRPr="00DD3886" w:rsidRDefault="00DD3886" w:rsidP="00DD3886">
      <w:pPr>
        <w:spacing w:after="60"/>
        <w:jc w:val="both"/>
        <w:rPr>
          <w:rFonts w:eastAsia="Calibri"/>
          <w:sz w:val="20"/>
          <w:szCs w:val="20"/>
          <w:lang w:val="en-US" w:eastAsia="en-US"/>
        </w:rPr>
      </w:pPr>
      <w:r w:rsidRPr="00DD3886">
        <w:rPr>
          <w:rFonts w:eastAsia="Calibri"/>
          <w:sz w:val="20"/>
          <w:szCs w:val="20"/>
          <w:lang w:val="en-US" w:eastAsia="en-US"/>
        </w:rPr>
        <w:t xml:space="preserve">Thus, the main task of PPM is to extend healthy life and increase the size of working-age population, with simultaneous and timely detection of pathological changes in the body, and targeted measures aimed at preventing diseases. </w:t>
      </w:r>
      <w:r w:rsidRPr="00DD3886">
        <w:rPr>
          <w:rFonts w:eastAsia="Calibri"/>
          <w:color w:val="000000"/>
          <w:sz w:val="20"/>
          <w:szCs w:val="20"/>
          <w:lang w:val="en-US" w:eastAsia="en-US"/>
        </w:rPr>
        <w:t xml:space="preserve">Implementation of PPM requires a lot before the current model “physician-patient” could be gradually displaced by a new model “medical advisor-healthy person-at-risk”. This is the reason for developing global scientific, clinical, social, and </w:t>
      </w:r>
      <w:bookmarkStart w:id="0" w:name="_GoBack"/>
      <w:bookmarkEnd w:id="0"/>
      <w:r w:rsidRPr="00DD3886">
        <w:rPr>
          <w:rFonts w:eastAsia="Calibri"/>
          <w:color w:val="000000"/>
          <w:sz w:val="20"/>
          <w:szCs w:val="20"/>
          <w:lang w:val="en-US" w:eastAsia="en-US"/>
        </w:rPr>
        <w:t xml:space="preserve">educational projects in the area of PPM to elicit the content of the new branch. </w:t>
      </w:r>
      <w:r w:rsidRPr="00DD3886">
        <w:rPr>
          <w:rFonts w:eastAsia="Calibri"/>
          <w:sz w:val="20"/>
          <w:szCs w:val="20"/>
          <w:lang w:val="en-US" w:eastAsia="en-US"/>
        </w:rPr>
        <w:t>So, to fully harvest the unique potential of PPM and PPM-based Public Health, new generations of new precision diagnostic, predictive, prognostic, preventive, prophylactic, therapeutic, rehabilitative and digital products will need to be matched with new thinking and new practice on the part of all the participants in the healthcare system. In this connection, the healthcare providers, public policy sector, and consumer industries will be required to develop new and creative models and products. And, no doubt, next generations will speak about the XXI century as a time, when medicine became preventive and personalized, and its outcomes – predictive and guarantied.</w:t>
      </w:r>
    </w:p>
    <w:p w:rsidR="00AC3BCD" w:rsidRPr="002F47B6" w:rsidRDefault="00AC3BCD" w:rsidP="00AC3BCD">
      <w:pPr>
        <w:jc w:val="both"/>
        <w:rPr>
          <w:color w:val="000000"/>
          <w:sz w:val="8"/>
          <w:szCs w:val="8"/>
          <w:lang w:val="en-US"/>
        </w:rPr>
      </w:pPr>
    </w:p>
    <w:p w:rsidR="00AC3BCD" w:rsidRPr="002F47B6" w:rsidRDefault="00AC3BCD" w:rsidP="00AC3BCD">
      <w:pPr>
        <w:jc w:val="both"/>
        <w:rPr>
          <w:b/>
          <w:sz w:val="20"/>
          <w:szCs w:val="20"/>
        </w:rPr>
      </w:pPr>
      <w:r w:rsidRPr="002F47B6">
        <w:rPr>
          <w:b/>
          <w:sz w:val="20"/>
          <w:szCs w:val="20"/>
        </w:rPr>
        <w:t>Biography</w:t>
      </w:r>
    </w:p>
    <w:p w:rsidR="002F47B6" w:rsidRPr="002F47B6" w:rsidRDefault="002F47B6" w:rsidP="002F47B6">
      <w:pPr>
        <w:autoSpaceDE w:val="0"/>
        <w:autoSpaceDN w:val="0"/>
        <w:adjustRightInd w:val="0"/>
        <w:rPr>
          <w:sz w:val="20"/>
          <w:szCs w:val="20"/>
        </w:rPr>
      </w:pPr>
      <w:r w:rsidRPr="002F47B6">
        <w:rPr>
          <w:sz w:val="20"/>
          <w:szCs w:val="20"/>
        </w:rPr>
        <w:t>Dr Sergey V. Suchkov, MD, PhD</w:t>
      </w:r>
    </w:p>
    <w:p w:rsidR="002F47B6" w:rsidRPr="002F47B6" w:rsidRDefault="002F47B6" w:rsidP="002F47B6">
      <w:pPr>
        <w:autoSpaceDE w:val="0"/>
        <w:autoSpaceDN w:val="0"/>
        <w:adjustRightInd w:val="0"/>
        <w:rPr>
          <w:sz w:val="20"/>
          <w:szCs w:val="20"/>
        </w:rPr>
      </w:pPr>
      <w:r w:rsidRPr="002F47B6">
        <w:rPr>
          <w:sz w:val="20"/>
          <w:szCs w:val="20"/>
        </w:rPr>
        <w:t>Sergey Suchkov was born in the City of Astrakhan, Russia, in a family of dynasty medical doctors. In 1980, graduated from Astrakhan State Medical University and was awarded with MD. In 1985, Suchkov maintained his PhD as a PhD student of the I.M. Sechenov Moscow Medical Academy and Institute of Medical Enzymology. In 2001, Suchkov maintained his Doctor Degree at the National Institute of Immunology, Russia.</w:t>
      </w:r>
    </w:p>
    <w:p w:rsidR="002F47B6" w:rsidRPr="002F47B6" w:rsidRDefault="002F47B6" w:rsidP="002F47B6">
      <w:pPr>
        <w:autoSpaceDE w:val="0"/>
        <w:autoSpaceDN w:val="0"/>
        <w:adjustRightInd w:val="0"/>
        <w:rPr>
          <w:sz w:val="20"/>
          <w:szCs w:val="20"/>
        </w:rPr>
      </w:pPr>
      <w:r w:rsidRPr="002F47B6">
        <w:rPr>
          <w:sz w:val="20"/>
          <w:szCs w:val="20"/>
        </w:rPr>
        <w:lastRenderedPageBreak/>
        <w:t>From 1989 through 1995, Dr Suchkov was being a Head of the Lab of Clinical Immunology, Helmholtz Eye Research Institute in Moscow. From 1995 through 2004 - a Chair of the Dept for Clinical Immunology, Moscow Clinical Research Institute (MONIKI). In 1993-1996, Dr Suchkov was a Secretary-in-Chief of the Editorial Board, Biomedical Science, an international journal published jointly by the USSR Academy of Sciences and the Royal Society of Chemistry, UK.</w:t>
      </w:r>
    </w:p>
    <w:p w:rsidR="002F47B6" w:rsidRPr="002F47B6" w:rsidRDefault="002F47B6" w:rsidP="002F47B6">
      <w:pPr>
        <w:autoSpaceDE w:val="0"/>
        <w:autoSpaceDN w:val="0"/>
        <w:adjustRightInd w:val="0"/>
        <w:rPr>
          <w:sz w:val="20"/>
          <w:szCs w:val="20"/>
        </w:rPr>
      </w:pPr>
      <w:r w:rsidRPr="002F47B6">
        <w:rPr>
          <w:sz w:val="20"/>
          <w:szCs w:val="20"/>
        </w:rPr>
        <w:t>At present, Dr Sergey Suchkov, MD, PhD, is:</w:t>
      </w:r>
    </w:p>
    <w:p w:rsidR="0064229A" w:rsidRDefault="0064229A" w:rsidP="002F47B6">
      <w:pPr>
        <w:autoSpaceDE w:val="0"/>
        <w:autoSpaceDN w:val="0"/>
        <w:adjustRightInd w:val="0"/>
        <w:rPr>
          <w:sz w:val="20"/>
          <w:szCs w:val="20"/>
        </w:rPr>
      </w:pPr>
    </w:p>
    <w:p w:rsidR="00AC3BCD" w:rsidRPr="002F47B6" w:rsidRDefault="00072E30" w:rsidP="002F47B6">
      <w:pPr>
        <w:autoSpaceDE w:val="0"/>
        <w:autoSpaceDN w:val="0"/>
        <w:adjustRightInd w:val="0"/>
        <w:rPr>
          <w:sz w:val="20"/>
          <w:szCs w:val="20"/>
          <w:lang w:val="en-NZ"/>
        </w:rPr>
      </w:pPr>
      <w:r w:rsidRPr="002F47B6">
        <w:rPr>
          <w:sz w:val="20"/>
          <w:szCs w:val="20"/>
          <w:lang w:val="en-NZ"/>
        </w:rPr>
        <w:t>Contact number:</w:t>
      </w:r>
      <w:r w:rsidR="00DD3886" w:rsidRPr="002F47B6">
        <w:rPr>
          <w:sz w:val="20"/>
          <w:szCs w:val="20"/>
          <w:lang w:val="en-NZ"/>
        </w:rPr>
        <w:t xml:space="preserve"> </w:t>
      </w:r>
      <w:r w:rsidR="00DD3886" w:rsidRPr="002F47B6">
        <w:rPr>
          <w:b/>
          <w:sz w:val="20"/>
          <w:szCs w:val="20"/>
          <w:lang w:val="en-NZ"/>
        </w:rPr>
        <w:t>ssuchkov57@gmail.com</w:t>
      </w:r>
      <w:r w:rsidRPr="002F47B6">
        <w:rPr>
          <w:b/>
          <w:sz w:val="20"/>
          <w:szCs w:val="20"/>
          <w:lang w:val="en-NZ"/>
        </w:rPr>
        <w:br/>
      </w:r>
      <w:r w:rsidR="00AC3BCD" w:rsidRPr="002F47B6">
        <w:rPr>
          <w:sz w:val="20"/>
          <w:szCs w:val="20"/>
          <w:lang w:val="en-NZ"/>
        </w:rPr>
        <w:t>Session</w:t>
      </w:r>
      <w:r w:rsidR="00DA581F" w:rsidRPr="002F47B6">
        <w:rPr>
          <w:sz w:val="20"/>
          <w:szCs w:val="20"/>
          <w:lang w:val="en-NZ"/>
        </w:rPr>
        <w:t xml:space="preserve"> </w:t>
      </w:r>
      <w:r w:rsidR="00085B88" w:rsidRPr="002F47B6">
        <w:rPr>
          <w:sz w:val="20"/>
          <w:szCs w:val="20"/>
          <w:lang w:val="en-NZ"/>
        </w:rPr>
        <w:t>n</w:t>
      </w:r>
      <w:r w:rsidR="00AC3BCD" w:rsidRPr="002F47B6">
        <w:rPr>
          <w:sz w:val="20"/>
          <w:szCs w:val="20"/>
          <w:lang w:val="en-NZ"/>
        </w:rPr>
        <w:t>ame</w:t>
      </w:r>
      <w:r w:rsidR="00DA581F" w:rsidRPr="002F47B6">
        <w:rPr>
          <w:sz w:val="20"/>
          <w:szCs w:val="20"/>
          <w:lang w:val="en-NZ"/>
        </w:rPr>
        <w:t>/ number</w:t>
      </w:r>
      <w:r w:rsidR="00AC3BCD" w:rsidRPr="002F47B6">
        <w:rPr>
          <w:sz w:val="20"/>
          <w:szCs w:val="20"/>
          <w:lang w:val="en-NZ"/>
        </w:rPr>
        <w:t>:</w:t>
      </w:r>
      <w:r w:rsidR="00DD3886" w:rsidRPr="002F47B6">
        <w:rPr>
          <w:sz w:val="20"/>
          <w:szCs w:val="20"/>
          <w:lang w:val="en-NZ"/>
        </w:rPr>
        <w:t xml:space="preserve"> </w:t>
      </w:r>
      <w:r w:rsidR="00DD3886" w:rsidRPr="002F47B6">
        <w:rPr>
          <w:b/>
          <w:sz w:val="20"/>
          <w:szCs w:val="20"/>
          <w:lang w:val="en-NZ"/>
        </w:rPr>
        <w:t>Keynote (Plenary)</w:t>
      </w:r>
      <w:r w:rsidR="00DD3886" w:rsidRPr="002F47B6">
        <w:rPr>
          <w:sz w:val="20"/>
          <w:szCs w:val="20"/>
          <w:lang w:val="en-NZ"/>
        </w:rPr>
        <w:t xml:space="preserve"> </w:t>
      </w:r>
      <w:r w:rsidR="00DD3886" w:rsidRPr="002F47B6">
        <w:rPr>
          <w:b/>
          <w:sz w:val="20"/>
          <w:szCs w:val="20"/>
          <w:lang w:val="en-NZ"/>
        </w:rPr>
        <w:t>speech</w:t>
      </w:r>
      <w:r w:rsidR="00AC3BCD" w:rsidRPr="002F47B6">
        <w:rPr>
          <w:b/>
          <w:sz w:val="20"/>
          <w:szCs w:val="20"/>
          <w:lang w:val="en-NZ"/>
        </w:rPr>
        <w:br/>
      </w:r>
      <w:r w:rsidR="00AC3BCD" w:rsidRPr="002F47B6">
        <w:rPr>
          <w:sz w:val="20"/>
          <w:szCs w:val="20"/>
          <w:lang w:val="en-NZ"/>
        </w:rPr>
        <w:t>Category: (</w:t>
      </w:r>
      <w:r w:rsidR="00AC3BCD" w:rsidRPr="002F47B6">
        <w:rPr>
          <w:b/>
          <w:sz w:val="20"/>
          <w:szCs w:val="20"/>
          <w:lang w:val="en-NZ"/>
        </w:rPr>
        <w:t>Oral presentation</w:t>
      </w:r>
      <w:r w:rsidR="00AC3BCD" w:rsidRPr="002F47B6">
        <w:rPr>
          <w:sz w:val="20"/>
          <w:szCs w:val="20"/>
          <w:lang w:val="en-NZ"/>
        </w:rPr>
        <w:t>/ Poster</w:t>
      </w:r>
      <w:r w:rsidR="00085B88" w:rsidRPr="002F47B6">
        <w:rPr>
          <w:sz w:val="20"/>
          <w:szCs w:val="20"/>
          <w:lang w:val="en-NZ"/>
        </w:rPr>
        <w:t xml:space="preserve"> presentation</w:t>
      </w:r>
      <w:r w:rsidR="00AC3BCD" w:rsidRPr="002F47B6">
        <w:rPr>
          <w:sz w:val="20"/>
          <w:szCs w:val="20"/>
          <w:lang w:val="en-NZ"/>
        </w:rPr>
        <w:t>)</w:t>
      </w:r>
      <w:r w:rsidR="00DD3886" w:rsidRPr="002F47B6">
        <w:rPr>
          <w:sz w:val="20"/>
          <w:szCs w:val="20"/>
          <w:lang w:val="en-NZ"/>
        </w:rPr>
        <w:t xml:space="preserve"> </w:t>
      </w:r>
    </w:p>
    <w:sectPr w:rsidR="00AC3BCD" w:rsidRPr="002F47B6"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373" w:rsidRDefault="009A7373" w:rsidP="00671A59">
      <w:r>
        <w:separator/>
      </w:r>
    </w:p>
  </w:endnote>
  <w:endnote w:type="continuationSeparator" w:id="0">
    <w:p w:rsidR="009A7373" w:rsidRDefault="009A737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373" w:rsidRDefault="009A7373" w:rsidP="00671A59">
      <w:r>
        <w:separator/>
      </w:r>
    </w:p>
  </w:footnote>
  <w:footnote w:type="continuationSeparator" w:id="0">
    <w:p w:rsidR="009A7373" w:rsidRDefault="009A737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2804"/>
    <w:rsid w:val="002659F1"/>
    <w:rsid w:val="00270EC9"/>
    <w:rsid w:val="00292DC0"/>
    <w:rsid w:val="002B18D5"/>
    <w:rsid w:val="002C0F2B"/>
    <w:rsid w:val="002F47B6"/>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4229A"/>
    <w:rsid w:val="006511AA"/>
    <w:rsid w:val="00671A59"/>
    <w:rsid w:val="00691F82"/>
    <w:rsid w:val="006B463C"/>
    <w:rsid w:val="006C51B8"/>
    <w:rsid w:val="006F0C5C"/>
    <w:rsid w:val="007258AA"/>
    <w:rsid w:val="00743CCA"/>
    <w:rsid w:val="00745C64"/>
    <w:rsid w:val="00746319"/>
    <w:rsid w:val="007875D1"/>
    <w:rsid w:val="00790C29"/>
    <w:rsid w:val="007F0333"/>
    <w:rsid w:val="00800D58"/>
    <w:rsid w:val="00834D93"/>
    <w:rsid w:val="00862283"/>
    <w:rsid w:val="008A3E9A"/>
    <w:rsid w:val="008A690F"/>
    <w:rsid w:val="008C5CD7"/>
    <w:rsid w:val="008D0DB9"/>
    <w:rsid w:val="00901E5B"/>
    <w:rsid w:val="00970E67"/>
    <w:rsid w:val="009821B4"/>
    <w:rsid w:val="009A6AD9"/>
    <w:rsid w:val="009A7373"/>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2A31"/>
    <w:rsid w:val="00B26097"/>
    <w:rsid w:val="00B27625"/>
    <w:rsid w:val="00B675D9"/>
    <w:rsid w:val="00BF5676"/>
    <w:rsid w:val="00CE08A2"/>
    <w:rsid w:val="00D367E3"/>
    <w:rsid w:val="00DA2249"/>
    <w:rsid w:val="00DA581F"/>
    <w:rsid w:val="00DC29A1"/>
    <w:rsid w:val="00DC7405"/>
    <w:rsid w:val="00DD3006"/>
    <w:rsid w:val="00DD388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D6AD6-F412-4744-80D1-566B108C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944</Words>
  <Characters>5387</Characters>
  <Application>Microsoft Office Word</Application>
  <DocSecurity>0</DocSecurity>
  <Lines>44</Lines>
  <Paragraphs>12</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2022-06-21T07:00:00Z</dcterms:created>
  <dcterms:modified xsi:type="dcterms:W3CDTF">2022-06-28T09:10:00Z</dcterms:modified>
</cp:coreProperties>
</file>