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303" w:rsidRPr="00FB5381" w:rsidRDefault="00FB5381" w:rsidP="00FB5381">
      <w:pPr>
        <w:spacing w:after="100" w:afterAutospacing="1"/>
        <w:rPr>
          <w:rFonts w:ascii="Times New Roman" w:eastAsia="Times New Roman" w:hAnsi="Times New Roman" w:cs="Times New Roman"/>
          <w:b/>
          <w:color w:val="000000"/>
          <w:sz w:val="32"/>
          <w:szCs w:val="22"/>
        </w:rPr>
      </w:pPr>
      <w:r>
        <w:rPr>
          <w:rFonts w:ascii="Times New Roman" w:eastAsia="Times New Roman" w:hAnsi="Times New Roman" w:cs="Times New Roman"/>
          <w:b/>
          <w:color w:val="000000"/>
          <w:sz w:val="32"/>
          <w:szCs w:val="22"/>
        </w:rPr>
        <w:t xml:space="preserve">Point of </w:t>
      </w:r>
      <w:r w:rsidR="006A6303" w:rsidRPr="00FB5381">
        <w:rPr>
          <w:rFonts w:ascii="Times New Roman" w:eastAsia="Times New Roman" w:hAnsi="Times New Roman" w:cs="Times New Roman"/>
          <w:b/>
          <w:color w:val="000000"/>
          <w:sz w:val="32"/>
          <w:szCs w:val="22"/>
        </w:rPr>
        <w:t>care lung ultrasound findings associated with need for intensive care in COVID-19 positive patients</w:t>
      </w:r>
    </w:p>
    <w:p w:rsidR="006A6303" w:rsidRPr="00FB5381" w:rsidRDefault="006A6303" w:rsidP="00FB5381">
      <w:pPr>
        <w:spacing w:after="120"/>
        <w:rPr>
          <w:rFonts w:ascii="Times New Roman" w:eastAsia="Times New Roman" w:hAnsi="Times New Roman" w:cs="Times New Roman"/>
          <w:color w:val="000000"/>
          <w:szCs w:val="22"/>
        </w:rPr>
      </w:pPr>
      <w:proofErr w:type="spellStart"/>
      <w:r w:rsidRPr="00FB5381">
        <w:rPr>
          <w:rFonts w:ascii="Times New Roman" w:eastAsia="Times New Roman" w:hAnsi="Times New Roman" w:cs="Times New Roman"/>
          <w:color w:val="000000"/>
          <w:szCs w:val="22"/>
        </w:rPr>
        <w:t>Viveta</w:t>
      </w:r>
      <w:proofErr w:type="spellEnd"/>
      <w:r w:rsidRPr="00FB5381">
        <w:rPr>
          <w:rFonts w:ascii="Times New Roman" w:eastAsia="Times New Roman" w:hAnsi="Times New Roman" w:cs="Times New Roman"/>
          <w:color w:val="000000"/>
          <w:szCs w:val="22"/>
        </w:rPr>
        <w:t xml:space="preserve"> Lobo </w:t>
      </w:r>
    </w:p>
    <w:p w:rsidR="006A6303" w:rsidRPr="00FB5381" w:rsidRDefault="006A6303" w:rsidP="00FB5381">
      <w:pPr>
        <w:spacing w:after="100" w:afterAutospacing="1"/>
        <w:rPr>
          <w:rFonts w:ascii="Times New Roman" w:eastAsia="Times New Roman" w:hAnsi="Times New Roman" w:cs="Times New Roman"/>
          <w:color w:val="000000"/>
          <w:sz w:val="22"/>
          <w:szCs w:val="22"/>
        </w:rPr>
      </w:pPr>
      <w:r w:rsidRPr="00FB5381">
        <w:rPr>
          <w:rFonts w:ascii="Times New Roman" w:eastAsia="Times New Roman" w:hAnsi="Times New Roman" w:cs="Times New Roman"/>
          <w:color w:val="000000"/>
          <w:sz w:val="22"/>
          <w:szCs w:val="22"/>
        </w:rPr>
        <w:t>Stanford School of Medicine, USA</w:t>
      </w:r>
    </w:p>
    <w:p w:rsidR="006A6303" w:rsidRPr="00FB5381" w:rsidRDefault="006A6303" w:rsidP="00524959">
      <w:pPr>
        <w:spacing w:before="240" w:after="120"/>
        <w:rPr>
          <w:rFonts w:ascii="Times New Roman" w:eastAsia="Times New Roman" w:hAnsi="Times New Roman" w:cs="Times New Roman"/>
          <w:b/>
          <w:color w:val="000000"/>
        </w:rPr>
      </w:pPr>
      <w:r w:rsidRPr="00FB5381">
        <w:rPr>
          <w:rFonts w:ascii="Times New Roman" w:eastAsia="Times New Roman" w:hAnsi="Times New Roman" w:cs="Times New Roman"/>
          <w:b/>
          <w:color w:val="000000"/>
        </w:rPr>
        <w:t>Introduction</w:t>
      </w:r>
    </w:p>
    <w:p w:rsidR="006A6303" w:rsidRPr="00FB5381" w:rsidRDefault="006A6303" w:rsidP="00FB5381">
      <w:pPr>
        <w:spacing w:after="120"/>
        <w:jc w:val="both"/>
        <w:rPr>
          <w:rFonts w:ascii="Times New Roman" w:eastAsia="Times New Roman" w:hAnsi="Times New Roman" w:cs="Times New Roman"/>
          <w:color w:val="000000"/>
          <w:sz w:val="22"/>
          <w:szCs w:val="22"/>
        </w:rPr>
      </w:pPr>
      <w:r w:rsidRPr="00FB5381">
        <w:rPr>
          <w:rFonts w:ascii="Times New Roman" w:eastAsia="Times New Roman" w:hAnsi="Times New Roman" w:cs="Times New Roman"/>
          <w:color w:val="000000"/>
          <w:sz w:val="20"/>
          <w:szCs w:val="22"/>
        </w:rPr>
        <w:t>Point</w:t>
      </w:r>
      <w:r w:rsidR="00FB5381">
        <w:rPr>
          <w:rFonts w:ascii="Times New Roman" w:eastAsia="Times New Roman" w:hAnsi="Times New Roman" w:cs="Times New Roman"/>
          <w:color w:val="000000"/>
          <w:sz w:val="20"/>
          <w:szCs w:val="22"/>
        </w:rPr>
        <w:t xml:space="preserve"> of </w:t>
      </w:r>
      <w:r w:rsidR="00FB5381" w:rsidRPr="00FB5381">
        <w:rPr>
          <w:rFonts w:ascii="Times New Roman" w:eastAsia="Times New Roman" w:hAnsi="Times New Roman" w:cs="Times New Roman"/>
          <w:color w:val="000000"/>
          <w:sz w:val="20"/>
          <w:szCs w:val="22"/>
        </w:rPr>
        <w:t>Care Lung Ultrasound </w:t>
      </w:r>
      <w:r w:rsidRPr="00FB5381">
        <w:rPr>
          <w:rFonts w:ascii="Times New Roman" w:eastAsia="Times New Roman" w:hAnsi="Times New Roman" w:cs="Times New Roman"/>
          <w:color w:val="000000"/>
          <w:sz w:val="20"/>
          <w:szCs w:val="22"/>
        </w:rPr>
        <w:t>(LUS) has known utility in the diagnosis of parenchymal lung disease and has been proposed for use in the diagnosis of patients with COVID-19. The objective of this study was to evaluate the prognostic potential of findings on initial LUS performed in the Emergency Department (ED) or upon hospital admission on the need for intensive care in patients positive for COVID-19.</w:t>
      </w:r>
    </w:p>
    <w:p w:rsidR="006A6303" w:rsidRPr="00FB5381" w:rsidRDefault="006A6303" w:rsidP="00524959">
      <w:pPr>
        <w:spacing w:before="240" w:after="120"/>
        <w:outlineLvl w:val="2"/>
        <w:rPr>
          <w:rFonts w:ascii="Times New Roman" w:eastAsia="Times New Roman" w:hAnsi="Times New Roman" w:cs="Times New Roman"/>
          <w:b/>
          <w:color w:val="000000"/>
          <w:szCs w:val="22"/>
        </w:rPr>
      </w:pPr>
      <w:r w:rsidRPr="00FB5381">
        <w:rPr>
          <w:rFonts w:ascii="Times New Roman" w:eastAsia="Times New Roman" w:hAnsi="Times New Roman" w:cs="Times New Roman"/>
          <w:b/>
          <w:color w:val="000000"/>
          <w:szCs w:val="22"/>
        </w:rPr>
        <w:t>Methods</w:t>
      </w:r>
    </w:p>
    <w:p w:rsidR="006A6303" w:rsidRPr="00FB5381" w:rsidRDefault="006A6303" w:rsidP="00FB5381">
      <w:pPr>
        <w:spacing w:after="120"/>
        <w:jc w:val="both"/>
        <w:rPr>
          <w:rFonts w:ascii="Times New Roman" w:eastAsia="Times New Roman" w:hAnsi="Times New Roman" w:cs="Times New Roman"/>
          <w:color w:val="000000"/>
          <w:sz w:val="20"/>
          <w:szCs w:val="22"/>
        </w:rPr>
      </w:pPr>
      <w:r w:rsidRPr="00FB5381">
        <w:rPr>
          <w:rFonts w:ascii="Times New Roman" w:eastAsia="Times New Roman" w:hAnsi="Times New Roman" w:cs="Times New Roman"/>
          <w:color w:val="000000"/>
          <w:sz w:val="20"/>
          <w:szCs w:val="22"/>
        </w:rPr>
        <w:t xml:space="preserve">This was a prospective, multi-center observational study in which patients suspected of being COVID-19 positive were scanned in the ED by ultrasound fellowship trained emergency physicians or as soon as possible upon hospital admission by point-of-care ultrasound trained internal medicine physicians. Participants at least 18 years of age who were found to be positive for COVID-19 infection by nasopharyngeal swab PCR testing were included in the analysis. LUS clips were obtained using a 12-zone protocol including views of bilateral anterior, lateral and posterior lung zones. Each scan was reviewed by 2 ultrasound experts who reached agreement on the presence of A-lines, B-lines, </w:t>
      </w:r>
      <w:r w:rsidR="008D2D83" w:rsidRPr="00FB5381">
        <w:rPr>
          <w:rFonts w:ascii="Times New Roman" w:eastAsia="Times New Roman" w:hAnsi="Times New Roman" w:cs="Times New Roman"/>
          <w:color w:val="000000"/>
          <w:sz w:val="20"/>
          <w:szCs w:val="22"/>
        </w:rPr>
        <w:t>sub pleural</w:t>
      </w:r>
      <w:r w:rsidRPr="00FB5381">
        <w:rPr>
          <w:rFonts w:ascii="Times New Roman" w:eastAsia="Times New Roman" w:hAnsi="Times New Roman" w:cs="Times New Roman"/>
          <w:color w:val="000000"/>
          <w:sz w:val="20"/>
          <w:szCs w:val="22"/>
        </w:rPr>
        <w:t xml:space="preserve"> consolidations and pleural effusions. The association of these findings with the primary outcome of </w:t>
      </w:r>
      <w:r w:rsidR="00FB5381" w:rsidRPr="00FB5381">
        <w:rPr>
          <w:rFonts w:ascii="Times New Roman" w:eastAsia="Times New Roman" w:hAnsi="Times New Roman" w:cs="Times New Roman"/>
          <w:color w:val="000000"/>
          <w:sz w:val="20"/>
          <w:szCs w:val="22"/>
        </w:rPr>
        <w:t xml:space="preserve">Intensive Care Unit </w:t>
      </w:r>
      <w:r w:rsidRPr="00FB5381">
        <w:rPr>
          <w:rFonts w:ascii="Times New Roman" w:eastAsia="Times New Roman" w:hAnsi="Times New Roman" w:cs="Times New Roman"/>
          <w:color w:val="000000"/>
          <w:sz w:val="20"/>
          <w:szCs w:val="22"/>
        </w:rPr>
        <w:t>(ICU) admission during hospital stay was assessed using Fisher’s exact tests.</w:t>
      </w:r>
    </w:p>
    <w:p w:rsidR="006A6303" w:rsidRPr="00FB5381" w:rsidRDefault="006A6303" w:rsidP="00524959">
      <w:pPr>
        <w:spacing w:before="240" w:after="120"/>
        <w:outlineLvl w:val="2"/>
        <w:rPr>
          <w:rFonts w:ascii="Times New Roman" w:eastAsia="Times New Roman" w:hAnsi="Times New Roman" w:cs="Times New Roman"/>
          <w:b/>
          <w:color w:val="000000"/>
          <w:szCs w:val="22"/>
        </w:rPr>
      </w:pPr>
      <w:r w:rsidRPr="00FB5381">
        <w:rPr>
          <w:rFonts w:ascii="Times New Roman" w:eastAsia="Times New Roman" w:hAnsi="Times New Roman" w:cs="Times New Roman"/>
          <w:b/>
          <w:color w:val="000000"/>
          <w:szCs w:val="22"/>
        </w:rPr>
        <w:t>Results</w:t>
      </w:r>
    </w:p>
    <w:p w:rsidR="006A6303" w:rsidRPr="00FB5381" w:rsidRDefault="006A6303" w:rsidP="00FB5381">
      <w:pPr>
        <w:spacing w:after="120"/>
        <w:jc w:val="both"/>
        <w:rPr>
          <w:rFonts w:ascii="Times New Roman" w:eastAsia="Times New Roman" w:hAnsi="Times New Roman" w:cs="Times New Roman"/>
          <w:color w:val="000000"/>
          <w:sz w:val="20"/>
          <w:szCs w:val="22"/>
        </w:rPr>
      </w:pPr>
      <w:r w:rsidRPr="00FB5381">
        <w:rPr>
          <w:rFonts w:ascii="Times New Roman" w:eastAsia="Times New Roman" w:hAnsi="Times New Roman" w:cs="Times New Roman"/>
          <w:color w:val="000000"/>
          <w:sz w:val="20"/>
          <w:szCs w:val="22"/>
        </w:rPr>
        <w:t xml:space="preserve">There were 94 patients enrolled, 21 of whom required ICU admission. Patients who were admitted to the ICU were less likely to have A-lines present in &gt;50% of lung zones on their initial ultrasound compared to those who were not (0% </w:t>
      </w:r>
      <w:r w:rsidR="008D2D83" w:rsidRPr="00FB5381">
        <w:rPr>
          <w:rFonts w:ascii="Times New Roman" w:eastAsia="Times New Roman" w:hAnsi="Times New Roman" w:cs="Times New Roman"/>
          <w:color w:val="000000"/>
          <w:sz w:val="20"/>
          <w:szCs w:val="22"/>
        </w:rPr>
        <w:t>vs.</w:t>
      </w:r>
      <w:r w:rsidRPr="00FB5381">
        <w:rPr>
          <w:rFonts w:ascii="Times New Roman" w:eastAsia="Times New Roman" w:hAnsi="Times New Roman" w:cs="Times New Roman"/>
          <w:color w:val="000000"/>
          <w:sz w:val="20"/>
          <w:szCs w:val="22"/>
        </w:rPr>
        <w:t xml:space="preserve"> 27%, p=0.005). There was a significantly higher rate of anterior (77% </w:t>
      </w:r>
      <w:r w:rsidR="008D2D83" w:rsidRPr="00FB5381">
        <w:rPr>
          <w:rFonts w:ascii="Times New Roman" w:eastAsia="Times New Roman" w:hAnsi="Times New Roman" w:cs="Times New Roman"/>
          <w:color w:val="000000"/>
          <w:sz w:val="20"/>
          <w:szCs w:val="22"/>
        </w:rPr>
        <w:t>vs.</w:t>
      </w:r>
      <w:r w:rsidRPr="00FB5381">
        <w:rPr>
          <w:rFonts w:ascii="Times New Roman" w:eastAsia="Times New Roman" w:hAnsi="Times New Roman" w:cs="Times New Roman"/>
          <w:color w:val="000000"/>
          <w:sz w:val="20"/>
          <w:szCs w:val="22"/>
        </w:rPr>
        <w:t xml:space="preserve"> 39%, p=0.025) and lateral (92% </w:t>
      </w:r>
      <w:r w:rsidR="008D2D83" w:rsidRPr="00FB5381">
        <w:rPr>
          <w:rFonts w:ascii="Times New Roman" w:eastAsia="Times New Roman" w:hAnsi="Times New Roman" w:cs="Times New Roman"/>
          <w:color w:val="000000"/>
          <w:sz w:val="20"/>
          <w:szCs w:val="22"/>
        </w:rPr>
        <w:t>vs.</w:t>
      </w:r>
      <w:r w:rsidRPr="00FB5381">
        <w:rPr>
          <w:rFonts w:ascii="Times New Roman" w:eastAsia="Times New Roman" w:hAnsi="Times New Roman" w:cs="Times New Roman"/>
          <w:color w:val="000000"/>
          <w:sz w:val="20"/>
          <w:szCs w:val="22"/>
        </w:rPr>
        <w:t xml:space="preserve"> 50%, p=0.008) </w:t>
      </w:r>
      <w:r w:rsidR="008D2D83" w:rsidRPr="00FB5381">
        <w:rPr>
          <w:rFonts w:ascii="Times New Roman" w:eastAsia="Times New Roman" w:hAnsi="Times New Roman" w:cs="Times New Roman"/>
          <w:color w:val="000000"/>
          <w:sz w:val="20"/>
          <w:szCs w:val="22"/>
        </w:rPr>
        <w:t>sub pleural</w:t>
      </w:r>
      <w:r w:rsidRPr="00FB5381">
        <w:rPr>
          <w:rFonts w:ascii="Times New Roman" w:eastAsia="Times New Roman" w:hAnsi="Times New Roman" w:cs="Times New Roman"/>
          <w:color w:val="000000"/>
          <w:sz w:val="20"/>
          <w:szCs w:val="22"/>
        </w:rPr>
        <w:t xml:space="preserve"> consolidations in those who required ICU level of care compared to those who did not. There was no significant difference in the presence of bilateral B-lines (67% </w:t>
      </w:r>
      <w:r w:rsidR="00830958" w:rsidRPr="00FB5381">
        <w:rPr>
          <w:rFonts w:ascii="Times New Roman" w:eastAsia="Times New Roman" w:hAnsi="Times New Roman" w:cs="Times New Roman"/>
          <w:color w:val="000000"/>
          <w:sz w:val="20"/>
          <w:szCs w:val="22"/>
        </w:rPr>
        <w:t>vs.</w:t>
      </w:r>
      <w:r w:rsidRPr="00FB5381">
        <w:rPr>
          <w:rFonts w:ascii="Times New Roman" w:eastAsia="Times New Roman" w:hAnsi="Times New Roman" w:cs="Times New Roman"/>
          <w:color w:val="000000"/>
          <w:sz w:val="20"/>
          <w:szCs w:val="22"/>
        </w:rPr>
        <w:t xml:space="preserve"> 59%, p=0.62), presence of pleural effusions (19% </w:t>
      </w:r>
      <w:r w:rsidR="008D2D83" w:rsidRPr="00FB5381">
        <w:rPr>
          <w:rFonts w:ascii="Times New Roman" w:eastAsia="Times New Roman" w:hAnsi="Times New Roman" w:cs="Times New Roman"/>
          <w:color w:val="000000"/>
          <w:sz w:val="20"/>
          <w:szCs w:val="22"/>
        </w:rPr>
        <w:t>vs.</w:t>
      </w:r>
      <w:r w:rsidRPr="00FB5381">
        <w:rPr>
          <w:rFonts w:ascii="Times New Roman" w:eastAsia="Times New Roman" w:hAnsi="Times New Roman" w:cs="Times New Roman"/>
          <w:color w:val="000000"/>
          <w:sz w:val="20"/>
          <w:szCs w:val="22"/>
        </w:rPr>
        <w:t xml:space="preserve"> 12%, p=0.48), or presence of posterior </w:t>
      </w:r>
      <w:r w:rsidR="008D2D83" w:rsidRPr="00FB5381">
        <w:rPr>
          <w:rFonts w:ascii="Times New Roman" w:eastAsia="Times New Roman" w:hAnsi="Times New Roman" w:cs="Times New Roman"/>
          <w:color w:val="000000"/>
          <w:sz w:val="20"/>
          <w:szCs w:val="22"/>
        </w:rPr>
        <w:t>sub pleural</w:t>
      </w:r>
      <w:r w:rsidRPr="00FB5381">
        <w:rPr>
          <w:rFonts w:ascii="Times New Roman" w:eastAsia="Times New Roman" w:hAnsi="Times New Roman" w:cs="Times New Roman"/>
          <w:color w:val="000000"/>
          <w:sz w:val="20"/>
          <w:szCs w:val="22"/>
        </w:rPr>
        <w:t xml:space="preserve"> consolidations (67% </w:t>
      </w:r>
      <w:r w:rsidR="00830958" w:rsidRPr="00FB5381">
        <w:rPr>
          <w:rFonts w:ascii="Times New Roman" w:eastAsia="Times New Roman" w:hAnsi="Times New Roman" w:cs="Times New Roman"/>
          <w:color w:val="000000"/>
          <w:sz w:val="20"/>
          <w:szCs w:val="22"/>
        </w:rPr>
        <w:t>vs.</w:t>
      </w:r>
      <w:r w:rsidRPr="00FB5381">
        <w:rPr>
          <w:rFonts w:ascii="Times New Roman" w:eastAsia="Times New Roman" w:hAnsi="Times New Roman" w:cs="Times New Roman"/>
          <w:color w:val="000000"/>
          <w:sz w:val="20"/>
          <w:szCs w:val="22"/>
        </w:rPr>
        <w:t xml:space="preserve"> 89%, p=0.18) in patients who did and di</w:t>
      </w:r>
      <w:bookmarkStart w:id="0" w:name="_GoBack"/>
      <w:bookmarkEnd w:id="0"/>
      <w:r w:rsidRPr="00FB5381">
        <w:rPr>
          <w:rFonts w:ascii="Times New Roman" w:eastAsia="Times New Roman" w:hAnsi="Times New Roman" w:cs="Times New Roman"/>
          <w:color w:val="000000"/>
          <w:sz w:val="20"/>
          <w:szCs w:val="22"/>
        </w:rPr>
        <w:t>d not require ICU admission respectively.</w:t>
      </w:r>
    </w:p>
    <w:p w:rsidR="006A6303" w:rsidRPr="00FB5381" w:rsidRDefault="006A6303" w:rsidP="00524959">
      <w:pPr>
        <w:spacing w:before="240" w:after="120"/>
        <w:outlineLvl w:val="2"/>
        <w:rPr>
          <w:rFonts w:ascii="Times New Roman" w:eastAsia="Times New Roman" w:hAnsi="Times New Roman" w:cs="Times New Roman"/>
          <w:b/>
          <w:color w:val="000000"/>
          <w:szCs w:val="22"/>
        </w:rPr>
      </w:pPr>
      <w:r w:rsidRPr="00FB5381">
        <w:rPr>
          <w:rFonts w:ascii="Times New Roman" w:eastAsia="Times New Roman" w:hAnsi="Times New Roman" w:cs="Times New Roman"/>
          <w:b/>
          <w:color w:val="000000"/>
          <w:szCs w:val="22"/>
        </w:rPr>
        <w:t>Conclusion</w:t>
      </w:r>
    </w:p>
    <w:p w:rsidR="006A6303" w:rsidRPr="00FB5381" w:rsidRDefault="006A6303" w:rsidP="00FB5381">
      <w:pPr>
        <w:spacing w:after="120"/>
        <w:jc w:val="both"/>
        <w:rPr>
          <w:rFonts w:ascii="Times New Roman" w:eastAsia="Times New Roman" w:hAnsi="Times New Roman" w:cs="Times New Roman"/>
          <w:color w:val="000000"/>
          <w:sz w:val="22"/>
          <w:szCs w:val="22"/>
        </w:rPr>
      </w:pPr>
      <w:r w:rsidRPr="00FB5381">
        <w:rPr>
          <w:rFonts w:ascii="Times New Roman" w:eastAsia="Times New Roman" w:hAnsi="Times New Roman" w:cs="Times New Roman"/>
          <w:color w:val="000000"/>
          <w:sz w:val="20"/>
          <w:szCs w:val="22"/>
        </w:rPr>
        <w:t xml:space="preserve">COVID-19 positive patients who later required ICU admission were found to have abnormal initial LUS lacking A-lines in over half of lung zones. The presence of anterior or lateral </w:t>
      </w:r>
      <w:r w:rsidR="008D2D83" w:rsidRPr="00FB5381">
        <w:rPr>
          <w:rFonts w:ascii="Times New Roman" w:eastAsia="Times New Roman" w:hAnsi="Times New Roman" w:cs="Times New Roman"/>
          <w:color w:val="000000"/>
          <w:sz w:val="20"/>
          <w:szCs w:val="22"/>
        </w:rPr>
        <w:t>sub pleural</w:t>
      </w:r>
      <w:r w:rsidRPr="00FB5381">
        <w:rPr>
          <w:rFonts w:ascii="Times New Roman" w:eastAsia="Times New Roman" w:hAnsi="Times New Roman" w:cs="Times New Roman"/>
          <w:color w:val="000000"/>
          <w:sz w:val="20"/>
          <w:szCs w:val="22"/>
        </w:rPr>
        <w:t xml:space="preserve"> consolidations was associated with need for intensive care while posterior consolidations were not.</w:t>
      </w:r>
    </w:p>
    <w:p w:rsidR="006A6303" w:rsidRPr="00FB5381" w:rsidRDefault="006A6303" w:rsidP="00524959">
      <w:pPr>
        <w:spacing w:before="240" w:after="120"/>
        <w:outlineLvl w:val="2"/>
        <w:rPr>
          <w:rFonts w:ascii="Times New Roman" w:eastAsia="Times New Roman" w:hAnsi="Times New Roman" w:cs="Times New Roman"/>
          <w:b/>
          <w:color w:val="000000"/>
          <w:szCs w:val="22"/>
        </w:rPr>
      </w:pPr>
      <w:r w:rsidRPr="00FB5381">
        <w:rPr>
          <w:rFonts w:ascii="Times New Roman" w:eastAsia="Times New Roman" w:hAnsi="Times New Roman" w:cs="Times New Roman"/>
          <w:b/>
          <w:color w:val="000000"/>
          <w:szCs w:val="22"/>
        </w:rPr>
        <w:t>Biography</w:t>
      </w:r>
    </w:p>
    <w:p w:rsidR="006A6303" w:rsidRPr="00FB5381" w:rsidRDefault="006A6303" w:rsidP="00FB5381">
      <w:pPr>
        <w:spacing w:after="120"/>
        <w:jc w:val="both"/>
        <w:rPr>
          <w:rFonts w:ascii="Times New Roman" w:eastAsia="Times New Roman" w:hAnsi="Times New Roman" w:cs="Times New Roman"/>
          <w:color w:val="000000"/>
          <w:sz w:val="22"/>
          <w:szCs w:val="22"/>
        </w:rPr>
      </w:pPr>
      <w:r w:rsidRPr="00FB5381">
        <w:rPr>
          <w:rFonts w:ascii="Times New Roman" w:eastAsia="Times New Roman" w:hAnsi="Times New Roman" w:cs="Times New Roman"/>
          <w:color w:val="000000"/>
          <w:sz w:val="20"/>
          <w:szCs w:val="22"/>
        </w:rPr>
        <w:t xml:space="preserve">I am an Associate Professor at the Department of Emergency Medicine, at Stanford School of Medicine, California, </w:t>
      </w:r>
      <w:proofErr w:type="gramStart"/>
      <w:r w:rsidRPr="00FB5381">
        <w:rPr>
          <w:rFonts w:ascii="Times New Roman" w:eastAsia="Times New Roman" w:hAnsi="Times New Roman" w:cs="Times New Roman"/>
          <w:color w:val="000000"/>
          <w:sz w:val="20"/>
          <w:szCs w:val="22"/>
        </w:rPr>
        <w:t>Palo</w:t>
      </w:r>
      <w:proofErr w:type="gramEnd"/>
      <w:r w:rsidRPr="00FB5381">
        <w:rPr>
          <w:rFonts w:ascii="Times New Roman" w:eastAsia="Times New Roman" w:hAnsi="Times New Roman" w:cs="Times New Roman"/>
          <w:color w:val="000000"/>
          <w:sz w:val="20"/>
          <w:szCs w:val="22"/>
        </w:rPr>
        <w:t xml:space="preserve"> Alto. I am the Director of Point-of-care Ultrasound for the Emergency Department and co-director for Stanford Health Care. My academic work has primari</w:t>
      </w:r>
      <w:r w:rsidR="00FB5381">
        <w:rPr>
          <w:rFonts w:ascii="Times New Roman" w:eastAsia="Times New Roman" w:hAnsi="Times New Roman" w:cs="Times New Roman"/>
          <w:color w:val="000000"/>
          <w:sz w:val="20"/>
          <w:szCs w:val="22"/>
        </w:rPr>
        <w:t xml:space="preserve">ly focused on diagnostic POCUS. </w:t>
      </w:r>
      <w:r w:rsidRPr="00FB5381">
        <w:rPr>
          <w:rFonts w:ascii="Times New Roman" w:hAnsi="Times New Roman" w:cs="Times New Roman"/>
          <w:color w:val="000000"/>
          <w:sz w:val="20"/>
          <w:szCs w:val="22"/>
        </w:rPr>
        <w:t>A leader in the biomedical revolution, Stanford Medicine has a long tradition of leadership in pioneering research, creative teaching protocols and effective clinical therapies. Our close proximity to the resources of the university — including the Schools of Business, Law, Humanities and Sciences, and Engineering, our seamless relationship with our affiliated adult and children’s hospitals, and our ongoing associations with the entrepreneurial endeavors of Silicon Valley, make us uniquely positioned to accelerate the pace at which new knowledge is translated into tangible health benefits.</w:t>
      </w:r>
    </w:p>
    <w:p w:rsidR="006A6303" w:rsidRPr="00FB5381" w:rsidRDefault="006A6303" w:rsidP="006A6303">
      <w:pPr>
        <w:rPr>
          <w:rFonts w:ascii="Times New Roman" w:eastAsia="Times New Roman" w:hAnsi="Times New Roman" w:cs="Times New Roman"/>
          <w:color w:val="000000"/>
          <w:sz w:val="22"/>
          <w:szCs w:val="22"/>
        </w:rPr>
      </w:pPr>
    </w:p>
    <w:p w:rsidR="006A6303" w:rsidRPr="00FB5381" w:rsidRDefault="006A6303" w:rsidP="006A6303">
      <w:pPr>
        <w:rPr>
          <w:rFonts w:ascii="Times New Roman" w:eastAsia="Times New Roman" w:hAnsi="Times New Roman" w:cs="Times New Roman"/>
        </w:rPr>
      </w:pPr>
    </w:p>
    <w:p w:rsidR="006F22B5" w:rsidRPr="00FB5381" w:rsidRDefault="00830958">
      <w:pPr>
        <w:rPr>
          <w:rFonts w:ascii="Times New Roman" w:hAnsi="Times New Roman" w:cs="Times New Roman"/>
        </w:rPr>
      </w:pPr>
    </w:p>
    <w:sectPr w:rsidR="006F22B5" w:rsidRPr="00FB5381" w:rsidSect="00C12C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ABC"/>
    <w:rsid w:val="00174FDD"/>
    <w:rsid w:val="002E7218"/>
    <w:rsid w:val="00524959"/>
    <w:rsid w:val="006A6303"/>
    <w:rsid w:val="00830958"/>
    <w:rsid w:val="008D2D83"/>
    <w:rsid w:val="009F6032"/>
    <w:rsid w:val="00C12C4B"/>
    <w:rsid w:val="00D51ABC"/>
    <w:rsid w:val="00FA6FCC"/>
    <w:rsid w:val="00FB5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630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A6303"/>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A6303"/>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A6303"/>
  </w:style>
  <w:style w:type="paragraph" w:styleId="NormalWeb">
    <w:name w:val="Normal (Web)"/>
    <w:basedOn w:val="Normal"/>
    <w:uiPriority w:val="99"/>
    <w:semiHidden/>
    <w:unhideWhenUsed/>
    <w:rsid w:val="006A630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A63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630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A6303"/>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A6303"/>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A6303"/>
  </w:style>
  <w:style w:type="paragraph" w:styleId="NormalWeb">
    <w:name w:val="Normal (Web)"/>
    <w:basedOn w:val="Normal"/>
    <w:uiPriority w:val="99"/>
    <w:semiHidden/>
    <w:unhideWhenUsed/>
    <w:rsid w:val="006A630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A63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84479">
      <w:bodyDiv w:val="1"/>
      <w:marLeft w:val="0"/>
      <w:marRight w:val="0"/>
      <w:marTop w:val="0"/>
      <w:marBottom w:val="0"/>
      <w:divBdr>
        <w:top w:val="none" w:sz="0" w:space="0" w:color="auto"/>
        <w:left w:val="none" w:sz="0" w:space="0" w:color="auto"/>
        <w:bottom w:val="none" w:sz="0" w:space="0" w:color="auto"/>
        <w:right w:val="none" w:sz="0" w:space="0" w:color="auto"/>
      </w:divBdr>
    </w:div>
    <w:div w:id="170340960">
      <w:bodyDiv w:val="1"/>
      <w:marLeft w:val="0"/>
      <w:marRight w:val="0"/>
      <w:marTop w:val="0"/>
      <w:marBottom w:val="0"/>
      <w:divBdr>
        <w:top w:val="none" w:sz="0" w:space="0" w:color="auto"/>
        <w:left w:val="none" w:sz="0" w:space="0" w:color="auto"/>
        <w:bottom w:val="none" w:sz="0" w:space="0" w:color="auto"/>
        <w:right w:val="none" w:sz="0" w:space="0" w:color="auto"/>
      </w:divBdr>
    </w:div>
    <w:div w:id="618147062">
      <w:bodyDiv w:val="1"/>
      <w:marLeft w:val="0"/>
      <w:marRight w:val="0"/>
      <w:marTop w:val="0"/>
      <w:marBottom w:val="0"/>
      <w:divBdr>
        <w:top w:val="none" w:sz="0" w:space="0" w:color="auto"/>
        <w:left w:val="none" w:sz="0" w:space="0" w:color="auto"/>
        <w:bottom w:val="none" w:sz="0" w:space="0" w:color="auto"/>
        <w:right w:val="none" w:sz="0" w:space="0" w:color="auto"/>
      </w:divBdr>
      <w:divsChild>
        <w:div w:id="944463358">
          <w:marLeft w:val="0"/>
          <w:marRight w:val="0"/>
          <w:marTop w:val="0"/>
          <w:marBottom w:val="0"/>
          <w:divBdr>
            <w:top w:val="none" w:sz="0" w:space="0" w:color="auto"/>
            <w:left w:val="none" w:sz="0" w:space="0" w:color="auto"/>
            <w:bottom w:val="none" w:sz="0" w:space="0" w:color="auto"/>
            <w:right w:val="none" w:sz="0" w:space="0" w:color="auto"/>
          </w:divBdr>
          <w:divsChild>
            <w:div w:id="326373438">
              <w:marLeft w:val="0"/>
              <w:marRight w:val="0"/>
              <w:marTop w:val="0"/>
              <w:marBottom w:val="0"/>
              <w:divBdr>
                <w:top w:val="none" w:sz="0" w:space="0" w:color="auto"/>
                <w:left w:val="none" w:sz="0" w:space="0" w:color="auto"/>
                <w:bottom w:val="none" w:sz="0" w:space="0" w:color="auto"/>
                <w:right w:val="none" w:sz="0" w:space="0" w:color="auto"/>
              </w:divBdr>
            </w:div>
          </w:divsChild>
        </w:div>
        <w:div w:id="805439557">
          <w:marLeft w:val="0"/>
          <w:marRight w:val="0"/>
          <w:marTop w:val="0"/>
          <w:marBottom w:val="0"/>
          <w:divBdr>
            <w:top w:val="none" w:sz="0" w:space="0" w:color="auto"/>
            <w:left w:val="none" w:sz="0" w:space="0" w:color="auto"/>
            <w:bottom w:val="none" w:sz="0" w:space="0" w:color="auto"/>
            <w:right w:val="none" w:sz="0" w:space="0" w:color="auto"/>
          </w:divBdr>
          <w:divsChild>
            <w:div w:id="215507369">
              <w:marLeft w:val="0"/>
              <w:marRight w:val="0"/>
              <w:marTop w:val="0"/>
              <w:marBottom w:val="0"/>
              <w:divBdr>
                <w:top w:val="none" w:sz="0" w:space="0" w:color="auto"/>
                <w:left w:val="none" w:sz="0" w:space="0" w:color="auto"/>
                <w:bottom w:val="none" w:sz="0" w:space="0" w:color="auto"/>
                <w:right w:val="none" w:sz="0" w:space="0" w:color="auto"/>
              </w:divBdr>
            </w:div>
          </w:divsChild>
        </w:div>
        <w:div w:id="82920396">
          <w:marLeft w:val="0"/>
          <w:marRight w:val="0"/>
          <w:marTop w:val="0"/>
          <w:marBottom w:val="0"/>
          <w:divBdr>
            <w:top w:val="none" w:sz="0" w:space="0" w:color="auto"/>
            <w:left w:val="none" w:sz="0" w:space="0" w:color="auto"/>
            <w:bottom w:val="none" w:sz="0" w:space="0" w:color="auto"/>
            <w:right w:val="none" w:sz="0" w:space="0" w:color="auto"/>
          </w:divBdr>
          <w:divsChild>
            <w:div w:id="1089470924">
              <w:marLeft w:val="0"/>
              <w:marRight w:val="0"/>
              <w:marTop w:val="0"/>
              <w:marBottom w:val="0"/>
              <w:divBdr>
                <w:top w:val="none" w:sz="0" w:space="0" w:color="auto"/>
                <w:left w:val="none" w:sz="0" w:space="0" w:color="auto"/>
                <w:bottom w:val="none" w:sz="0" w:space="0" w:color="auto"/>
                <w:right w:val="none" w:sz="0" w:space="0" w:color="auto"/>
              </w:divBdr>
            </w:div>
          </w:divsChild>
        </w:div>
        <w:div w:id="612439186">
          <w:marLeft w:val="0"/>
          <w:marRight w:val="0"/>
          <w:marTop w:val="0"/>
          <w:marBottom w:val="0"/>
          <w:divBdr>
            <w:top w:val="none" w:sz="0" w:space="0" w:color="auto"/>
            <w:left w:val="none" w:sz="0" w:space="0" w:color="auto"/>
            <w:bottom w:val="none" w:sz="0" w:space="0" w:color="auto"/>
            <w:right w:val="none" w:sz="0" w:space="0" w:color="auto"/>
          </w:divBdr>
          <w:divsChild>
            <w:div w:id="21361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21542">
      <w:bodyDiv w:val="1"/>
      <w:marLeft w:val="0"/>
      <w:marRight w:val="0"/>
      <w:marTop w:val="0"/>
      <w:marBottom w:val="0"/>
      <w:divBdr>
        <w:top w:val="none" w:sz="0" w:space="0" w:color="auto"/>
        <w:left w:val="none" w:sz="0" w:space="0" w:color="auto"/>
        <w:bottom w:val="none" w:sz="0" w:space="0" w:color="auto"/>
        <w:right w:val="none" w:sz="0" w:space="0" w:color="auto"/>
      </w:divBdr>
    </w:div>
    <w:div w:id="135961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Shanthi\Emergency%20Medcine%202022\Abstracts\Viveta%20Lobo%20-Abstrac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Viveta Lobo -Abstract</Template>
  <TotalTime>10</TotalTime>
  <Pages>1</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Emergency &amp; Acutecare Medicine</dc:creator>
  <cp:lastModifiedBy>Swetha Sandala</cp:lastModifiedBy>
  <cp:revision>7</cp:revision>
  <dcterms:created xsi:type="dcterms:W3CDTF">2022-05-21T07:05:00Z</dcterms:created>
  <dcterms:modified xsi:type="dcterms:W3CDTF">2022-05-23T05:24:00Z</dcterms:modified>
</cp:coreProperties>
</file>