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005" w:rsidRPr="00E04664" w:rsidRDefault="00301675" w:rsidP="00301675">
      <w:pPr>
        <w:spacing w:after="240"/>
        <w:rPr>
          <w:rFonts w:ascii="Times New Roman" w:hAnsi="Times New Roman" w:cs="Times New Roman"/>
          <w:b/>
          <w:sz w:val="32"/>
        </w:rPr>
      </w:pPr>
      <w:r w:rsidRPr="00E04664">
        <w:rPr>
          <w:rFonts w:ascii="Times New Roman" w:hAnsi="Times New Roman" w:cs="Times New Roman"/>
          <w:b/>
          <w:sz w:val="32"/>
        </w:rPr>
        <w:t>Intimate partner violence perpetrators response to an emotion induction task: Facial expressions and sexism</w:t>
      </w:r>
    </w:p>
    <w:p w:rsidR="00301675" w:rsidRDefault="00301675" w:rsidP="00301675">
      <w:pPr>
        <w:spacing w:after="120"/>
        <w:rPr>
          <w:rFonts w:ascii="Times New Roman" w:hAnsi="Times New Roman" w:cs="Times New Roman"/>
          <w:sz w:val="24"/>
        </w:rPr>
      </w:pPr>
      <w:proofErr w:type="spellStart"/>
      <w:r>
        <w:rPr>
          <w:rFonts w:ascii="Times New Roman" w:hAnsi="Times New Roman" w:cs="Times New Roman"/>
          <w:sz w:val="24"/>
        </w:rPr>
        <w:t>Moya</w:t>
      </w:r>
      <w:proofErr w:type="spellEnd"/>
      <w:r>
        <w:rPr>
          <w:rFonts w:ascii="Times New Roman" w:hAnsi="Times New Roman" w:cs="Times New Roman"/>
          <w:sz w:val="24"/>
        </w:rPr>
        <w:t xml:space="preserve"> </w:t>
      </w:r>
      <w:proofErr w:type="spellStart"/>
      <w:r>
        <w:rPr>
          <w:rFonts w:ascii="Times New Roman" w:hAnsi="Times New Roman" w:cs="Times New Roman"/>
          <w:sz w:val="24"/>
        </w:rPr>
        <w:t>Albiol</w:t>
      </w:r>
      <w:proofErr w:type="spellEnd"/>
      <w:r>
        <w:rPr>
          <w:rFonts w:ascii="Times New Roman" w:hAnsi="Times New Roman" w:cs="Times New Roman"/>
          <w:sz w:val="24"/>
        </w:rPr>
        <w:t xml:space="preserve"> L*, Comes </w:t>
      </w:r>
      <w:proofErr w:type="spellStart"/>
      <w:r>
        <w:rPr>
          <w:rFonts w:ascii="Times New Roman" w:hAnsi="Times New Roman" w:cs="Times New Roman"/>
          <w:sz w:val="24"/>
        </w:rPr>
        <w:t>Fayos</w:t>
      </w:r>
      <w:proofErr w:type="spellEnd"/>
      <w:r>
        <w:rPr>
          <w:rFonts w:ascii="Times New Roman" w:hAnsi="Times New Roman" w:cs="Times New Roman"/>
          <w:sz w:val="24"/>
        </w:rPr>
        <w:t xml:space="preserve"> </w:t>
      </w:r>
      <w:r w:rsidRPr="00301675">
        <w:rPr>
          <w:rFonts w:ascii="Times New Roman" w:hAnsi="Times New Roman" w:cs="Times New Roman"/>
          <w:sz w:val="24"/>
        </w:rPr>
        <w:t>J</w:t>
      </w:r>
      <w:r>
        <w:rPr>
          <w:rFonts w:ascii="Times New Roman" w:hAnsi="Times New Roman" w:cs="Times New Roman"/>
          <w:sz w:val="24"/>
        </w:rPr>
        <w:t xml:space="preserve">, </w:t>
      </w:r>
      <w:proofErr w:type="spellStart"/>
      <w:r>
        <w:rPr>
          <w:rFonts w:ascii="Times New Roman" w:hAnsi="Times New Roman" w:cs="Times New Roman"/>
          <w:sz w:val="24"/>
        </w:rPr>
        <w:t>Bressanutti</w:t>
      </w:r>
      <w:proofErr w:type="spellEnd"/>
      <w:r>
        <w:rPr>
          <w:rFonts w:ascii="Times New Roman" w:hAnsi="Times New Roman" w:cs="Times New Roman"/>
          <w:sz w:val="24"/>
        </w:rPr>
        <w:t xml:space="preserve"> S, Moreno IR, Romero </w:t>
      </w:r>
      <w:proofErr w:type="spellStart"/>
      <w:r>
        <w:rPr>
          <w:rFonts w:ascii="Times New Roman" w:hAnsi="Times New Roman" w:cs="Times New Roman"/>
          <w:sz w:val="24"/>
        </w:rPr>
        <w:t>Martínez</w:t>
      </w:r>
      <w:proofErr w:type="spellEnd"/>
      <w:r>
        <w:rPr>
          <w:rFonts w:ascii="Times New Roman" w:hAnsi="Times New Roman" w:cs="Times New Roman"/>
          <w:sz w:val="24"/>
        </w:rPr>
        <w:t xml:space="preserve"> A and Lila </w:t>
      </w:r>
      <w:r w:rsidRPr="00301675">
        <w:rPr>
          <w:rFonts w:ascii="Times New Roman" w:hAnsi="Times New Roman" w:cs="Times New Roman"/>
          <w:sz w:val="24"/>
        </w:rPr>
        <w:t>M.</w:t>
      </w:r>
    </w:p>
    <w:p w:rsidR="00301675" w:rsidRDefault="00301675" w:rsidP="00301675">
      <w:pPr>
        <w:spacing w:after="240"/>
        <w:rPr>
          <w:rFonts w:ascii="Times New Roman" w:hAnsi="Times New Roman" w:cs="Times New Roman"/>
        </w:rPr>
      </w:pPr>
      <w:proofErr w:type="spellStart"/>
      <w:r w:rsidRPr="00301675">
        <w:rPr>
          <w:rFonts w:ascii="Times New Roman" w:hAnsi="Times New Roman" w:cs="Times New Roman"/>
        </w:rPr>
        <w:t>Universitat</w:t>
      </w:r>
      <w:proofErr w:type="spellEnd"/>
      <w:r w:rsidRPr="00301675">
        <w:rPr>
          <w:rFonts w:ascii="Times New Roman" w:hAnsi="Times New Roman" w:cs="Times New Roman"/>
        </w:rPr>
        <w:t xml:space="preserve"> de </w:t>
      </w:r>
      <w:proofErr w:type="spellStart"/>
      <w:r w:rsidRPr="00301675">
        <w:rPr>
          <w:rFonts w:ascii="Times New Roman" w:hAnsi="Times New Roman" w:cs="Times New Roman"/>
        </w:rPr>
        <w:t>València</w:t>
      </w:r>
      <w:proofErr w:type="spellEnd"/>
      <w:r w:rsidRPr="00301675">
        <w:rPr>
          <w:rFonts w:ascii="Times New Roman" w:hAnsi="Times New Roman" w:cs="Times New Roman"/>
        </w:rPr>
        <w:t>, Spain</w:t>
      </w:r>
    </w:p>
    <w:p w:rsidR="00301675" w:rsidRDefault="00301675" w:rsidP="00301675">
      <w:pPr>
        <w:spacing w:before="240" w:after="240"/>
        <w:jc w:val="center"/>
        <w:rPr>
          <w:rFonts w:ascii="Times New Roman" w:hAnsi="Times New Roman" w:cs="Times New Roman"/>
          <w:b/>
          <w:sz w:val="24"/>
        </w:rPr>
      </w:pPr>
      <w:r w:rsidRPr="00301675">
        <w:rPr>
          <w:rFonts w:ascii="Times New Roman" w:hAnsi="Times New Roman" w:cs="Times New Roman"/>
          <w:b/>
          <w:sz w:val="24"/>
        </w:rPr>
        <w:t>Abstract</w:t>
      </w:r>
    </w:p>
    <w:p w:rsidR="00301675" w:rsidRPr="00301675" w:rsidRDefault="00301675" w:rsidP="00301675">
      <w:pPr>
        <w:spacing w:after="120"/>
        <w:jc w:val="both"/>
        <w:rPr>
          <w:rFonts w:ascii="Times New Roman" w:hAnsi="Times New Roman" w:cs="Times New Roman"/>
          <w:sz w:val="20"/>
        </w:rPr>
      </w:pPr>
      <w:r>
        <w:rPr>
          <w:rFonts w:ascii="Times New Roman" w:hAnsi="Times New Roman" w:cs="Times New Roman"/>
          <w:sz w:val="20"/>
        </w:rPr>
        <w:t>T</w:t>
      </w:r>
      <w:r w:rsidRPr="00301675">
        <w:rPr>
          <w:rFonts w:ascii="Times New Roman" w:hAnsi="Times New Roman" w:cs="Times New Roman"/>
          <w:sz w:val="20"/>
        </w:rPr>
        <w:t>he current study investigates</w:t>
      </w:r>
      <w:r>
        <w:rPr>
          <w:rFonts w:ascii="Times New Roman" w:hAnsi="Times New Roman" w:cs="Times New Roman"/>
          <w:sz w:val="20"/>
        </w:rPr>
        <w:t xml:space="preserve"> </w:t>
      </w:r>
      <w:r w:rsidRPr="00301675">
        <w:rPr>
          <w:rFonts w:ascii="Times New Roman" w:hAnsi="Times New Roman" w:cs="Times New Roman"/>
          <w:sz w:val="20"/>
        </w:rPr>
        <w:t>poss</w:t>
      </w:r>
      <w:r>
        <w:rPr>
          <w:rFonts w:ascii="Times New Roman" w:hAnsi="Times New Roman" w:cs="Times New Roman"/>
          <w:sz w:val="20"/>
        </w:rPr>
        <w:t xml:space="preserve">ible neuropsychological markers associated </w:t>
      </w:r>
      <w:r w:rsidRPr="00301675">
        <w:rPr>
          <w:rFonts w:ascii="Times New Roman" w:hAnsi="Times New Roman" w:cs="Times New Roman"/>
          <w:sz w:val="20"/>
        </w:rPr>
        <w:t xml:space="preserve">with </w:t>
      </w:r>
      <w:proofErr w:type="spellStart"/>
      <w:r w:rsidRPr="00301675">
        <w:rPr>
          <w:rFonts w:ascii="Times New Roman" w:hAnsi="Times New Roman" w:cs="Times New Roman"/>
          <w:sz w:val="20"/>
        </w:rPr>
        <w:t>neurocriminogenic</w:t>
      </w:r>
      <w:proofErr w:type="spellEnd"/>
      <w:r w:rsidRPr="00301675">
        <w:rPr>
          <w:rFonts w:ascii="Times New Roman" w:hAnsi="Times New Roman" w:cs="Times New Roman"/>
          <w:sz w:val="20"/>
        </w:rPr>
        <w:t xml:space="preserve"> factors in Intimate Partner Violence (IPV) perpetration.</w:t>
      </w:r>
    </w:p>
    <w:p w:rsidR="00301675" w:rsidRPr="00301675" w:rsidRDefault="00301675" w:rsidP="00301675">
      <w:pPr>
        <w:spacing w:after="120"/>
        <w:jc w:val="both"/>
        <w:rPr>
          <w:rFonts w:ascii="Times New Roman" w:hAnsi="Times New Roman" w:cs="Times New Roman"/>
          <w:sz w:val="20"/>
        </w:rPr>
      </w:pPr>
      <w:r w:rsidRPr="00301675">
        <w:rPr>
          <w:rFonts w:ascii="Times New Roman" w:hAnsi="Times New Roman" w:cs="Times New Roman"/>
          <w:sz w:val="20"/>
        </w:rPr>
        <w:t>Current studies revealed that men condemned for IPV show deficits in their capacity to empathize. Empathy is a cognitive-affective ability, associated with the mirror neuron system, and its deterioration is associated with violent behaviors. It activates both when individuals perform an action, and when they observe others performing the same action, affecting therefore, the tendency to automatically imitate and synchronize facial expressions with the interlocutor. Ergo, the implementation of an instrument of facial recognition of emotions could be a reliable option to evaluate the empathic response.</w:t>
      </w:r>
    </w:p>
    <w:p w:rsidR="00301675" w:rsidRPr="00301675" w:rsidRDefault="00301675" w:rsidP="00301675">
      <w:pPr>
        <w:spacing w:after="120"/>
        <w:jc w:val="both"/>
        <w:rPr>
          <w:rFonts w:ascii="Times New Roman" w:hAnsi="Times New Roman" w:cs="Times New Roman"/>
          <w:sz w:val="20"/>
        </w:rPr>
      </w:pPr>
      <w:r w:rsidRPr="00301675">
        <w:rPr>
          <w:rFonts w:ascii="Times New Roman" w:hAnsi="Times New Roman" w:cs="Times New Roman"/>
          <w:sz w:val="20"/>
        </w:rPr>
        <w:t xml:space="preserve">For this purpose, we </w:t>
      </w:r>
      <w:r w:rsidR="00E04664" w:rsidRPr="00301675">
        <w:rPr>
          <w:rFonts w:ascii="Times New Roman" w:hAnsi="Times New Roman" w:cs="Times New Roman"/>
          <w:sz w:val="20"/>
        </w:rPr>
        <w:t>analyzed</w:t>
      </w:r>
      <w:r w:rsidRPr="00301675">
        <w:rPr>
          <w:rFonts w:ascii="Times New Roman" w:hAnsi="Times New Roman" w:cs="Times New Roman"/>
          <w:sz w:val="20"/>
        </w:rPr>
        <w:t xml:space="preserve"> the effects of an empathic induction task, mainly based on IPV emotion-eliciting videos, in the facial</w:t>
      </w:r>
      <w:r>
        <w:rPr>
          <w:rFonts w:ascii="Times New Roman" w:hAnsi="Times New Roman" w:cs="Times New Roman"/>
          <w:sz w:val="20"/>
        </w:rPr>
        <w:t xml:space="preserve"> expressions of a group of IPV perpetrators (n=55) compared to non-violent controls (n=48). </w:t>
      </w:r>
      <w:r w:rsidRPr="00301675">
        <w:rPr>
          <w:rFonts w:ascii="Times New Roman" w:hAnsi="Times New Roman" w:cs="Times New Roman"/>
          <w:sz w:val="20"/>
        </w:rPr>
        <w:t xml:space="preserve">Additionally, we explored the predictive capacity of sexism (measured with Ambivalent Sexism Inventory) in the facial expressions’ responses to the task, being </w:t>
      </w:r>
      <w:r w:rsidR="00E04664" w:rsidRPr="00301675">
        <w:rPr>
          <w:rFonts w:ascii="Times New Roman" w:hAnsi="Times New Roman" w:cs="Times New Roman"/>
          <w:sz w:val="20"/>
        </w:rPr>
        <w:t>this</w:t>
      </w:r>
      <w:r w:rsidRPr="00301675">
        <w:rPr>
          <w:rFonts w:ascii="Times New Roman" w:hAnsi="Times New Roman" w:cs="Times New Roman"/>
          <w:sz w:val="20"/>
        </w:rPr>
        <w:t xml:space="preserve"> important attitudinal risk factor for IPV. Our data revealed that IPV perpetrators exhibited higher sexism scores than controls. Regarding the facial expressions’ responses to the task, IPV perpetrators had lower prevalence of negative affect facial expressions after the empathic induction with respect to the control group. On the other hand, the IPV perpetrators did exhibit a higher prevalence of positive facial expressions when dealing with IPV videos. Furthermore, the higher the sexism scores, the higher the prevalence of positive affect facial expressions after the empathic induction task, being this association equal for both groups. The predictive ability of the sexism score was not significant for facial expressions of negative affect.</w:t>
      </w:r>
    </w:p>
    <w:p w:rsidR="00301675" w:rsidRPr="00301675" w:rsidRDefault="00301675" w:rsidP="00301675">
      <w:pPr>
        <w:spacing w:after="120"/>
        <w:jc w:val="both"/>
        <w:rPr>
          <w:rFonts w:ascii="Times New Roman" w:hAnsi="Times New Roman" w:cs="Times New Roman"/>
          <w:sz w:val="20"/>
        </w:rPr>
      </w:pPr>
      <w:r w:rsidRPr="00301675">
        <w:rPr>
          <w:rFonts w:ascii="Times New Roman" w:hAnsi="Times New Roman" w:cs="Times New Roman"/>
          <w:b/>
          <w:sz w:val="20"/>
        </w:rPr>
        <w:t>Importance of Research</w:t>
      </w:r>
      <w:r w:rsidRPr="00301675">
        <w:rPr>
          <w:rFonts w:ascii="Times New Roman" w:hAnsi="Times New Roman" w:cs="Times New Roman"/>
          <w:b/>
          <w:sz w:val="20"/>
        </w:rPr>
        <w:t>:</w:t>
      </w:r>
      <w:r>
        <w:rPr>
          <w:rFonts w:ascii="Times New Roman" w:hAnsi="Times New Roman" w:cs="Times New Roman"/>
          <w:sz w:val="20"/>
        </w:rPr>
        <w:t xml:space="preserve"> </w:t>
      </w:r>
      <w:r w:rsidRPr="00301675">
        <w:rPr>
          <w:rFonts w:ascii="Times New Roman" w:hAnsi="Times New Roman" w:cs="Times New Roman"/>
          <w:sz w:val="20"/>
        </w:rPr>
        <w:t xml:space="preserve">To prevent IPV, a growing number of studies have focused on IPV perpetrators profile, identifying various characteristics relevant to IPV severity and recidivism. However, it has been highlighted the need to approach IPV from a multidimensional </w:t>
      </w:r>
      <w:r w:rsidR="00E04664" w:rsidRPr="00301675">
        <w:rPr>
          <w:rFonts w:ascii="Times New Roman" w:hAnsi="Times New Roman" w:cs="Times New Roman"/>
          <w:sz w:val="20"/>
        </w:rPr>
        <w:t>bio psychosocial</w:t>
      </w:r>
      <w:r w:rsidRPr="00301675">
        <w:rPr>
          <w:rFonts w:ascii="Times New Roman" w:hAnsi="Times New Roman" w:cs="Times New Roman"/>
          <w:sz w:val="20"/>
        </w:rPr>
        <w:t xml:space="preserve"> framework, bringing together the psychosocial factors of IPV with biological markers that provide data less susceptible to bias and manipulation than self-reported questionnaires</w:t>
      </w:r>
    </w:p>
    <w:p w:rsidR="00301675" w:rsidRPr="00301675" w:rsidRDefault="00301675" w:rsidP="00301675">
      <w:pPr>
        <w:spacing w:after="120"/>
        <w:jc w:val="both"/>
        <w:rPr>
          <w:rFonts w:ascii="Times New Roman" w:hAnsi="Times New Roman" w:cs="Times New Roman"/>
          <w:sz w:val="20"/>
        </w:rPr>
      </w:pPr>
      <w:r w:rsidRPr="00301675">
        <w:rPr>
          <w:rFonts w:ascii="Times New Roman" w:hAnsi="Times New Roman" w:cs="Times New Roman"/>
          <w:b/>
          <w:sz w:val="20"/>
        </w:rPr>
        <w:t>Conclusion:</w:t>
      </w:r>
      <w:r w:rsidRPr="00301675">
        <w:rPr>
          <w:rFonts w:ascii="Times New Roman" w:hAnsi="Times New Roman" w:cs="Times New Roman"/>
          <w:sz w:val="20"/>
        </w:rPr>
        <w:t xml:space="preserve"> Our results indicate a difference in the facial expression of emotions during an empathic induction task in IPV perpetrators related to sexist cognitive patterns. Coherently with previous literature, these outcomes suggest a greater tendency to express positive emotions in situations of IPV in a group of IPV perpetrators. Furthermore, they seem to reinforce the theory that sexism fosters specific attitudes towards the use of violence against women, reflected more precisely in violent behavior towards one's intimate partner.</w:t>
      </w:r>
    </w:p>
    <w:p w:rsidR="00301675" w:rsidRDefault="00301675" w:rsidP="00301675">
      <w:pPr>
        <w:spacing w:after="120"/>
        <w:jc w:val="both"/>
        <w:rPr>
          <w:rFonts w:ascii="Times New Roman" w:hAnsi="Times New Roman" w:cs="Times New Roman"/>
          <w:sz w:val="20"/>
        </w:rPr>
      </w:pPr>
      <w:r w:rsidRPr="00301675">
        <w:rPr>
          <w:rFonts w:ascii="Times New Roman" w:hAnsi="Times New Roman" w:cs="Times New Roman"/>
          <w:sz w:val="20"/>
        </w:rPr>
        <w:t>Hence, the more extensive our knowledge on the perpetration of IPV, the more targeted our ability to focus on new therapeutic goals will be, increasing thereby the effectiveness of psyc</w:t>
      </w:r>
      <w:r>
        <w:rPr>
          <w:rFonts w:ascii="Times New Roman" w:hAnsi="Times New Roman" w:cs="Times New Roman"/>
          <w:sz w:val="20"/>
        </w:rPr>
        <w:t>hosocial intervention programs</w:t>
      </w:r>
      <w:r w:rsidRPr="00301675">
        <w:rPr>
          <w:rFonts w:ascii="Times New Roman" w:hAnsi="Times New Roman" w:cs="Times New Roman"/>
          <w:sz w:val="20"/>
        </w:rPr>
        <w:t xml:space="preserve"> and helping to reduce IPV recurrence in the medium term.</w:t>
      </w:r>
    </w:p>
    <w:p w:rsidR="00301675" w:rsidRDefault="00301675" w:rsidP="00301675">
      <w:pPr>
        <w:spacing w:before="240" w:after="100" w:afterAutospacing="1"/>
        <w:rPr>
          <w:rFonts w:ascii="Times New Roman" w:hAnsi="Times New Roman" w:cs="Times New Roman"/>
          <w:b/>
          <w:sz w:val="24"/>
          <w:szCs w:val="24"/>
        </w:rPr>
      </w:pPr>
      <w:r w:rsidRPr="00301675">
        <w:rPr>
          <w:rFonts w:ascii="Times New Roman" w:hAnsi="Times New Roman" w:cs="Times New Roman"/>
          <w:b/>
          <w:sz w:val="24"/>
          <w:szCs w:val="24"/>
        </w:rPr>
        <w:t xml:space="preserve">Biography: </w:t>
      </w:r>
    </w:p>
    <w:p w:rsidR="00301675" w:rsidRPr="00301675" w:rsidRDefault="00301675" w:rsidP="00301675">
      <w:pPr>
        <w:spacing w:before="240" w:after="100" w:afterAutospacing="1"/>
        <w:jc w:val="both"/>
        <w:rPr>
          <w:rFonts w:ascii="Times New Roman" w:hAnsi="Times New Roman" w:cs="Times New Roman"/>
          <w:sz w:val="20"/>
          <w:szCs w:val="24"/>
        </w:rPr>
      </w:pPr>
      <w:r w:rsidRPr="00301675">
        <w:rPr>
          <w:rFonts w:ascii="Times New Roman" w:hAnsi="Times New Roman" w:cs="Times New Roman"/>
          <w:sz w:val="20"/>
          <w:szCs w:val="24"/>
        </w:rPr>
        <w:t xml:space="preserve">Luis </w:t>
      </w:r>
      <w:proofErr w:type="spellStart"/>
      <w:r w:rsidRPr="00301675">
        <w:rPr>
          <w:rFonts w:ascii="Times New Roman" w:hAnsi="Times New Roman" w:cs="Times New Roman"/>
          <w:sz w:val="20"/>
          <w:szCs w:val="24"/>
        </w:rPr>
        <w:t>Moya</w:t>
      </w:r>
      <w:proofErr w:type="spellEnd"/>
      <w:r w:rsidRPr="00301675">
        <w:rPr>
          <w:rFonts w:ascii="Times New Roman" w:hAnsi="Times New Roman" w:cs="Times New Roman"/>
          <w:sz w:val="20"/>
          <w:szCs w:val="24"/>
        </w:rPr>
        <w:t xml:space="preserve"> </w:t>
      </w:r>
      <w:proofErr w:type="spellStart"/>
      <w:r w:rsidRPr="00301675">
        <w:rPr>
          <w:rFonts w:ascii="Times New Roman" w:hAnsi="Times New Roman" w:cs="Times New Roman"/>
          <w:sz w:val="20"/>
          <w:szCs w:val="24"/>
        </w:rPr>
        <w:t>Albiol</w:t>
      </w:r>
      <w:proofErr w:type="spellEnd"/>
      <w:r w:rsidRPr="00301675">
        <w:rPr>
          <w:rFonts w:ascii="Times New Roman" w:hAnsi="Times New Roman" w:cs="Times New Roman"/>
          <w:sz w:val="20"/>
          <w:szCs w:val="24"/>
        </w:rPr>
        <w:t xml:space="preserve"> is Full Professor of the Department of Psychobiology in the University of Valencia (Spain). His PhD in Psychology and Neurosciences was qualified of cum laude and awarded due to its exceptionality. He is the </w:t>
      </w:r>
      <w:r w:rsidRPr="00301675">
        <w:rPr>
          <w:rFonts w:ascii="Times New Roman" w:hAnsi="Times New Roman" w:cs="Times New Roman"/>
          <w:sz w:val="20"/>
          <w:szCs w:val="24"/>
        </w:rPr>
        <w:lastRenderedPageBreak/>
        <w:t xml:space="preserve">director of the first world Master in </w:t>
      </w:r>
      <w:proofErr w:type="spellStart"/>
      <w:r w:rsidRPr="00301675">
        <w:rPr>
          <w:rFonts w:ascii="Times New Roman" w:hAnsi="Times New Roman" w:cs="Times New Roman"/>
          <w:sz w:val="20"/>
          <w:szCs w:val="24"/>
        </w:rPr>
        <w:t>Neurocriminology</w:t>
      </w:r>
      <w:proofErr w:type="spellEnd"/>
      <w:r w:rsidRPr="00301675">
        <w:rPr>
          <w:rFonts w:ascii="Times New Roman" w:hAnsi="Times New Roman" w:cs="Times New Roman"/>
          <w:sz w:val="20"/>
          <w:szCs w:val="24"/>
        </w:rPr>
        <w:t xml:space="preserve"> and </w:t>
      </w:r>
      <w:r w:rsidR="00E04664" w:rsidRPr="00301675">
        <w:rPr>
          <w:rFonts w:ascii="Times New Roman" w:hAnsi="Times New Roman" w:cs="Times New Roman"/>
          <w:sz w:val="20"/>
          <w:szCs w:val="24"/>
        </w:rPr>
        <w:t>teaches</w:t>
      </w:r>
      <w:r w:rsidRPr="00301675">
        <w:rPr>
          <w:rFonts w:ascii="Times New Roman" w:hAnsi="Times New Roman" w:cs="Times New Roman"/>
          <w:sz w:val="20"/>
          <w:szCs w:val="24"/>
        </w:rPr>
        <w:t xml:space="preserve"> in both Psychology and Criminology graduate and postgraduate studies. He is the main researcher of a scientific team focused of Social Neuroscience, concretely in subjects as social stress, violence, cooperation and empathy. He has published more than 200 papers in reputed journals, together with several scientific and informative books. He is very involved in both the transfer and the exchange of knowledge, which is why he has promoted agreements and collaborations with associations, companies and other universities. It is also distinguished by its contribution to the dissemination of science in television, radio, specialized magazines and the press.</w:t>
      </w:r>
      <w:bookmarkStart w:id="0" w:name="_GoBack"/>
      <w:bookmarkEnd w:id="0"/>
    </w:p>
    <w:sectPr w:rsidR="00301675" w:rsidRPr="00301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675"/>
    <w:rsid w:val="00301675"/>
    <w:rsid w:val="00AC5005"/>
    <w:rsid w:val="00E04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654</Words>
  <Characters>3733</Characters>
  <Application>Microsoft Office Word</Application>
  <DocSecurity>0</DocSecurity>
  <Lines>31</Lines>
  <Paragraphs>8</Paragraphs>
  <ScaleCrop>false</ScaleCrop>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2022-05-23T05:55:00Z</dcterms:created>
  <dcterms:modified xsi:type="dcterms:W3CDTF">2022-05-23T06:08:00Z</dcterms:modified>
</cp:coreProperties>
</file>