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907DC" w14:textId="0EE5938D" w:rsidR="00C148B2" w:rsidRDefault="00C148B2" w:rsidP="005F1C70">
      <w:pPr>
        <w:spacing w:after="100" w:afterAutospacing="1"/>
        <w:rPr>
          <w:rFonts w:ascii="Times New Roman" w:hAnsi="Times New Roman" w:cs="Times New Roman"/>
          <w:b/>
          <w:sz w:val="32"/>
        </w:rPr>
      </w:pPr>
      <w:proofErr w:type="spellStart"/>
      <w:r w:rsidRPr="005F1C70">
        <w:rPr>
          <w:rFonts w:ascii="Times New Roman" w:hAnsi="Times New Roman" w:cs="Times New Roman"/>
          <w:b/>
          <w:sz w:val="32"/>
        </w:rPr>
        <w:t>Cytocompatibility</w:t>
      </w:r>
      <w:proofErr w:type="spellEnd"/>
      <w:r w:rsidRPr="005F1C70">
        <w:rPr>
          <w:rFonts w:ascii="Times New Roman" w:hAnsi="Times New Roman" w:cs="Times New Roman"/>
          <w:b/>
          <w:sz w:val="32"/>
        </w:rPr>
        <w:t xml:space="preserve"> of root canal sealers with different compositions and setting mechanisms on human </w:t>
      </w:r>
      <w:r w:rsidR="005F1C70" w:rsidRPr="005F1C70">
        <w:rPr>
          <w:rFonts w:ascii="Times New Roman" w:hAnsi="Times New Roman" w:cs="Times New Roman"/>
          <w:b/>
          <w:sz w:val="32"/>
        </w:rPr>
        <w:t>periodontal ligament stem cells</w:t>
      </w:r>
    </w:p>
    <w:p w14:paraId="473CD9CE" w14:textId="60C8097A" w:rsidR="005F1C70" w:rsidRDefault="005F1C70" w:rsidP="005F1C70">
      <w:pPr>
        <w:spacing w:after="120"/>
        <w:rPr>
          <w:rFonts w:ascii="Times New Roman" w:hAnsi="Times New Roman" w:cs="Times New Roman"/>
        </w:rPr>
      </w:pPr>
      <w:proofErr w:type="spellStart"/>
      <w:r w:rsidRPr="005F1C70">
        <w:rPr>
          <w:rFonts w:ascii="Times New Roman" w:hAnsi="Times New Roman" w:cs="Times New Roman"/>
        </w:rPr>
        <w:t>Shehab</w:t>
      </w:r>
      <w:proofErr w:type="spellEnd"/>
      <w:r w:rsidRPr="005F1C70">
        <w:rPr>
          <w:rFonts w:ascii="Times New Roman" w:hAnsi="Times New Roman" w:cs="Times New Roman"/>
        </w:rPr>
        <w:t xml:space="preserve"> el Din Mohamed Saber</w:t>
      </w:r>
    </w:p>
    <w:p w14:paraId="752066A2" w14:textId="0216ECCF" w:rsidR="005F1C70" w:rsidRPr="005F1C70" w:rsidRDefault="005F1C70" w:rsidP="005F1C70">
      <w:pPr>
        <w:spacing w:after="120"/>
        <w:rPr>
          <w:rFonts w:ascii="Times New Roman" w:hAnsi="Times New Roman" w:cs="Times New Roman"/>
          <w:sz w:val="22"/>
        </w:rPr>
      </w:pPr>
      <w:r w:rsidRPr="005F1C70">
        <w:rPr>
          <w:rFonts w:ascii="Times New Roman" w:hAnsi="Times New Roman" w:cs="Times New Roman"/>
          <w:sz w:val="22"/>
        </w:rPr>
        <w:t>The British University</w:t>
      </w:r>
      <w:r>
        <w:rPr>
          <w:rFonts w:ascii="Times New Roman" w:hAnsi="Times New Roman" w:cs="Times New Roman"/>
          <w:sz w:val="22"/>
        </w:rPr>
        <w:t xml:space="preserve"> in Egypt, Egypt</w:t>
      </w:r>
    </w:p>
    <w:p w14:paraId="4DCFF3A0" w14:textId="5CDBAD05" w:rsidR="005F1C70" w:rsidRPr="005F1C70" w:rsidRDefault="005F1C70" w:rsidP="005F1C70">
      <w:pPr>
        <w:spacing w:after="100" w:afterAutospacing="1"/>
        <w:jc w:val="center"/>
        <w:rPr>
          <w:rFonts w:ascii="Times New Roman" w:hAnsi="Times New Roman" w:cs="Times New Roman"/>
          <w:b/>
        </w:rPr>
      </w:pPr>
      <w:r w:rsidRPr="005F1C70">
        <w:rPr>
          <w:rFonts w:ascii="Times New Roman" w:hAnsi="Times New Roman" w:cs="Times New Roman"/>
          <w:b/>
        </w:rPr>
        <w:t>Abstract</w:t>
      </w:r>
    </w:p>
    <w:p w14:paraId="1C692751" w14:textId="1C4F4516" w:rsidR="00F63E51" w:rsidRPr="005F1C70" w:rsidRDefault="002B4D6E" w:rsidP="005F1C70">
      <w:pPr>
        <w:spacing w:after="240"/>
        <w:jc w:val="both"/>
        <w:rPr>
          <w:rFonts w:ascii="Times New Roman" w:hAnsi="Times New Roman" w:cs="Times New Roman"/>
          <w:sz w:val="20"/>
        </w:rPr>
      </w:pPr>
      <w:r w:rsidRPr="005F1C70">
        <w:rPr>
          <w:rFonts w:ascii="Times New Roman" w:hAnsi="Times New Roman" w:cs="Times New Roman"/>
          <w:b/>
          <w:sz w:val="20"/>
        </w:rPr>
        <w:t>Statement of the problem:</w:t>
      </w:r>
      <w:r w:rsidRPr="005F1C70">
        <w:rPr>
          <w:rFonts w:ascii="Times New Roman" w:hAnsi="Times New Roman" w:cs="Times New Roman"/>
          <w:sz w:val="20"/>
        </w:rPr>
        <w:t xml:space="preserve"> </w:t>
      </w:r>
      <w:r w:rsidR="00F63E51" w:rsidRPr="005F1C70">
        <w:rPr>
          <w:rFonts w:ascii="Times New Roman" w:hAnsi="Times New Roman" w:cs="Times New Roman"/>
          <w:sz w:val="20"/>
        </w:rPr>
        <w:t>Root canal sealers are responsible for the principal functions of the final root filling; which are sealing-off of the root canal system, entombment of the remaining bacteria and filling of irregularities in the prepared root canal system.</w:t>
      </w:r>
      <w:r w:rsidR="00F63E51" w:rsidRPr="005F1C70">
        <w:rPr>
          <w:rFonts w:ascii="Times New Roman" w:hAnsi="Times New Roman" w:cs="Times New Roman"/>
          <w:sz w:val="16"/>
          <w:szCs w:val="20"/>
        </w:rPr>
        <w:t xml:space="preserve"> </w:t>
      </w:r>
      <w:r w:rsidR="00F63E51" w:rsidRPr="005F1C70">
        <w:rPr>
          <w:rFonts w:ascii="Times New Roman" w:hAnsi="Times New Roman" w:cs="Times New Roman"/>
          <w:sz w:val="20"/>
        </w:rPr>
        <w:t>An ideal sealer should be biocompatible, bacteriostatic, does not shrink on setting, insoluble in oral fluids and in case of extrusion from canal, it should be biocompatible. However, all root canal sealers exhibit some form of toxicity irrespective of their type. Therefore, cytotoxicity of sealers remains an issue even though newer sealers have been introduced due to their high biocompatibility.</w:t>
      </w:r>
      <w:r w:rsidRPr="005F1C70">
        <w:rPr>
          <w:rFonts w:ascii="Times New Roman" w:hAnsi="Times New Roman" w:cs="Times New Roman"/>
          <w:sz w:val="20"/>
        </w:rPr>
        <w:t xml:space="preserve"> The purpose of this study was to assess the cytocompatibility of two root canal sealers; GuttaFlow 2 based on polydimethylsiloxane and incorporating gutta percha powder, and EndoSequence which is a pre-mixed paste based on calcium</w:t>
      </w:r>
      <w:r w:rsidR="00A52600" w:rsidRPr="005F1C70">
        <w:rPr>
          <w:rFonts w:ascii="Times New Roman" w:hAnsi="Times New Roman" w:cs="Times New Roman"/>
          <w:sz w:val="20"/>
        </w:rPr>
        <w:t>-</w:t>
      </w:r>
      <w:r w:rsidRPr="005F1C70">
        <w:rPr>
          <w:rFonts w:ascii="Times New Roman" w:hAnsi="Times New Roman" w:cs="Times New Roman"/>
          <w:sz w:val="20"/>
        </w:rPr>
        <w:t>phosphate</w:t>
      </w:r>
      <w:r w:rsidR="00A52600" w:rsidRPr="005F1C70">
        <w:rPr>
          <w:rFonts w:ascii="Times New Roman" w:hAnsi="Times New Roman" w:cs="Times New Roman"/>
          <w:sz w:val="20"/>
        </w:rPr>
        <w:t>-</w:t>
      </w:r>
      <w:r w:rsidRPr="005F1C70">
        <w:rPr>
          <w:rFonts w:ascii="Times New Roman" w:hAnsi="Times New Roman" w:cs="Times New Roman"/>
          <w:sz w:val="20"/>
        </w:rPr>
        <w:t xml:space="preserve">silicate. </w:t>
      </w:r>
    </w:p>
    <w:p w14:paraId="03A229CC" w14:textId="7A12D723" w:rsidR="002B4D6E" w:rsidRPr="005F1C70" w:rsidRDefault="002B4D6E" w:rsidP="005F1C70">
      <w:pPr>
        <w:spacing w:after="240"/>
        <w:jc w:val="both"/>
        <w:rPr>
          <w:rFonts w:ascii="Times New Roman" w:hAnsi="Times New Roman" w:cs="Times New Roman"/>
          <w:sz w:val="20"/>
        </w:rPr>
      </w:pPr>
      <w:r w:rsidRPr="005F1C70">
        <w:rPr>
          <w:rFonts w:ascii="Times New Roman" w:hAnsi="Times New Roman" w:cs="Times New Roman"/>
          <w:b/>
          <w:sz w:val="20"/>
        </w:rPr>
        <w:t>Methodology:</w:t>
      </w:r>
      <w:r w:rsidRPr="005F1C70">
        <w:rPr>
          <w:rFonts w:ascii="Times New Roman" w:hAnsi="Times New Roman" w:cs="Times New Roman"/>
          <w:sz w:val="20"/>
        </w:rPr>
        <w:t xml:space="preserve"> Human </w:t>
      </w:r>
      <w:r w:rsidR="005F1C70" w:rsidRPr="005F1C70">
        <w:rPr>
          <w:rFonts w:ascii="Times New Roman" w:hAnsi="Times New Roman" w:cs="Times New Roman"/>
          <w:sz w:val="20"/>
        </w:rPr>
        <w:t xml:space="preserve">Periodontal Ligament Stem Cells </w:t>
      </w:r>
      <w:r w:rsidRPr="005F1C70">
        <w:rPr>
          <w:rFonts w:ascii="Times New Roman" w:hAnsi="Times New Roman" w:cs="Times New Roman"/>
          <w:sz w:val="20"/>
        </w:rPr>
        <w:t>(</w:t>
      </w:r>
      <w:proofErr w:type="spellStart"/>
      <w:r w:rsidR="00D132F1">
        <w:rPr>
          <w:rFonts w:ascii="Times New Roman" w:hAnsi="Times New Roman" w:cs="Times New Roman"/>
          <w:sz w:val="20"/>
        </w:rPr>
        <w:t>h</w:t>
      </w:r>
      <w:r w:rsidRPr="005F1C70">
        <w:rPr>
          <w:rFonts w:ascii="Times New Roman" w:hAnsi="Times New Roman" w:cs="Times New Roman"/>
          <w:sz w:val="20"/>
        </w:rPr>
        <w:t>PDLSCs</w:t>
      </w:r>
      <w:proofErr w:type="spellEnd"/>
      <w:r w:rsidRPr="005F1C70">
        <w:rPr>
          <w:rFonts w:ascii="Times New Roman" w:hAnsi="Times New Roman" w:cs="Times New Roman"/>
          <w:sz w:val="20"/>
        </w:rPr>
        <w:t xml:space="preserve">) were isolated, cultured and their mesenchymal phenotype characterized by flow cytometry. The </w:t>
      </w:r>
      <w:r w:rsidRPr="00D132F1">
        <w:rPr>
          <w:rFonts w:ascii="Times New Roman" w:hAnsi="Times New Roman" w:cs="Times New Roman"/>
          <w:i/>
          <w:sz w:val="20"/>
        </w:rPr>
        <w:t>in</w:t>
      </w:r>
      <w:r w:rsidR="00D132F1">
        <w:rPr>
          <w:rFonts w:ascii="Times New Roman" w:hAnsi="Times New Roman" w:cs="Times New Roman"/>
          <w:i/>
          <w:sz w:val="20"/>
        </w:rPr>
        <w:t xml:space="preserve"> </w:t>
      </w:r>
      <w:r w:rsidRPr="00D132F1">
        <w:rPr>
          <w:rFonts w:ascii="Times New Roman" w:hAnsi="Times New Roman" w:cs="Times New Roman"/>
          <w:i/>
          <w:sz w:val="20"/>
        </w:rPr>
        <w:t>vitro</w:t>
      </w:r>
      <w:r w:rsidRPr="005F1C70">
        <w:rPr>
          <w:rFonts w:ascii="Times New Roman" w:hAnsi="Times New Roman" w:cs="Times New Roman"/>
          <w:sz w:val="20"/>
        </w:rPr>
        <w:t xml:space="preserve"> potential for </w:t>
      </w:r>
      <w:proofErr w:type="spellStart"/>
      <w:r w:rsidRPr="005F1C70">
        <w:rPr>
          <w:rFonts w:ascii="Times New Roman" w:hAnsi="Times New Roman" w:cs="Times New Roman"/>
          <w:sz w:val="20"/>
        </w:rPr>
        <w:t>multilineage</w:t>
      </w:r>
      <w:proofErr w:type="spellEnd"/>
      <w:r w:rsidRPr="005F1C70">
        <w:rPr>
          <w:rFonts w:ascii="Times New Roman" w:hAnsi="Times New Roman" w:cs="Times New Roman"/>
          <w:sz w:val="20"/>
        </w:rPr>
        <w:t xml:space="preserve"> differentiation of the hPDLSCs was analyzed in osteogenic, adipogenic and chondrogenic media. The proliferation rate of the hPDLSCs growing in the presence of the endodontic sealer eluates was evaluated using the MTT assay, in which 3 dilutions were prepared and cell viability was analyzed after 1, 3 and 7 days of culture growth.</w:t>
      </w:r>
    </w:p>
    <w:p w14:paraId="19A448E8" w14:textId="4AA1D0B2" w:rsidR="002B4D6E" w:rsidRPr="005F1C70" w:rsidRDefault="002B4D6E" w:rsidP="005F1C70">
      <w:pPr>
        <w:spacing w:after="240"/>
        <w:jc w:val="both"/>
        <w:rPr>
          <w:rFonts w:ascii="Times New Roman" w:hAnsi="Times New Roman" w:cs="Times New Roman"/>
          <w:sz w:val="20"/>
        </w:rPr>
      </w:pPr>
      <w:r w:rsidRPr="005F1C70">
        <w:rPr>
          <w:rFonts w:ascii="Times New Roman" w:hAnsi="Times New Roman" w:cs="Times New Roman"/>
          <w:b/>
          <w:sz w:val="20"/>
        </w:rPr>
        <w:t>Results:</w:t>
      </w:r>
      <w:r w:rsidRPr="005F1C70">
        <w:rPr>
          <w:rFonts w:ascii="Times New Roman" w:hAnsi="Times New Roman" w:cs="Times New Roman"/>
          <w:sz w:val="20"/>
        </w:rPr>
        <w:t xml:space="preserve"> </w:t>
      </w:r>
      <w:r w:rsidR="0057298A" w:rsidRPr="005F1C70">
        <w:rPr>
          <w:rFonts w:ascii="Times New Roman" w:hAnsi="Times New Roman" w:cs="Times New Roman"/>
          <w:sz w:val="20"/>
        </w:rPr>
        <w:t xml:space="preserve">Both </w:t>
      </w:r>
      <w:proofErr w:type="spellStart"/>
      <w:r w:rsidR="0057298A" w:rsidRPr="005F1C70">
        <w:rPr>
          <w:rFonts w:ascii="Times New Roman" w:hAnsi="Times New Roman" w:cs="Times New Roman"/>
          <w:sz w:val="20"/>
        </w:rPr>
        <w:t>GuttaFlow</w:t>
      </w:r>
      <w:proofErr w:type="spellEnd"/>
      <w:r w:rsidR="0057298A" w:rsidRPr="005F1C70">
        <w:rPr>
          <w:rFonts w:ascii="Times New Roman" w:hAnsi="Times New Roman" w:cs="Times New Roman"/>
          <w:sz w:val="20"/>
        </w:rPr>
        <w:t xml:space="preserve"> 2 and EndoSequence BC supported</w:t>
      </w:r>
      <w:r w:rsidRPr="005F1C70">
        <w:rPr>
          <w:rFonts w:ascii="Times New Roman" w:hAnsi="Times New Roman" w:cs="Times New Roman"/>
          <w:sz w:val="20"/>
        </w:rPr>
        <w:t xml:space="preserve"> </w:t>
      </w:r>
      <w:r w:rsidR="0057298A" w:rsidRPr="005F1C70">
        <w:rPr>
          <w:rFonts w:ascii="Times New Roman" w:hAnsi="Times New Roman" w:cs="Times New Roman"/>
          <w:sz w:val="20"/>
        </w:rPr>
        <w:t>stem cells survival and showed comparable</w:t>
      </w:r>
      <w:r w:rsidRPr="005F1C70">
        <w:rPr>
          <w:rFonts w:ascii="Times New Roman" w:hAnsi="Times New Roman" w:cs="Times New Roman"/>
          <w:sz w:val="20"/>
        </w:rPr>
        <w:t xml:space="preserve"> </w:t>
      </w:r>
      <w:r w:rsidR="00220BF9" w:rsidRPr="005F1C70">
        <w:rPr>
          <w:rFonts w:ascii="Times New Roman" w:hAnsi="Times New Roman" w:cs="Times New Roman"/>
          <w:sz w:val="20"/>
        </w:rPr>
        <w:t xml:space="preserve">non-significant </w:t>
      </w:r>
      <w:r w:rsidR="00A52600" w:rsidRPr="005F1C70">
        <w:rPr>
          <w:rFonts w:ascii="Times New Roman" w:hAnsi="Times New Roman" w:cs="Times New Roman"/>
          <w:sz w:val="20"/>
        </w:rPr>
        <w:t xml:space="preserve">excellent </w:t>
      </w:r>
      <w:r w:rsidRPr="005F1C70">
        <w:rPr>
          <w:rFonts w:ascii="Times New Roman" w:hAnsi="Times New Roman" w:cs="Times New Roman"/>
          <w:sz w:val="20"/>
        </w:rPr>
        <w:t xml:space="preserve">proliferation </w:t>
      </w:r>
      <w:r w:rsidR="00A52600" w:rsidRPr="005F1C70">
        <w:rPr>
          <w:rFonts w:ascii="Times New Roman" w:hAnsi="Times New Roman" w:cs="Times New Roman"/>
          <w:sz w:val="20"/>
        </w:rPr>
        <w:t>rate</w:t>
      </w:r>
      <w:r w:rsidR="00D136E8" w:rsidRPr="005F1C70">
        <w:rPr>
          <w:rFonts w:ascii="Times New Roman" w:hAnsi="Times New Roman" w:cs="Times New Roman"/>
          <w:sz w:val="20"/>
        </w:rPr>
        <w:t xml:space="preserve">s </w:t>
      </w:r>
      <w:r w:rsidR="00220BF9" w:rsidRPr="005F1C70">
        <w:rPr>
          <w:rFonts w:ascii="Times New Roman" w:hAnsi="Times New Roman" w:cs="Times New Roman"/>
          <w:sz w:val="20"/>
        </w:rPr>
        <w:t>(p&gt;0.05).</w:t>
      </w:r>
      <w:r w:rsidR="0057298A" w:rsidRPr="005F1C70">
        <w:rPr>
          <w:rFonts w:ascii="Times New Roman" w:hAnsi="Times New Roman" w:cs="Times New Roman"/>
          <w:sz w:val="20"/>
        </w:rPr>
        <w:t xml:space="preserve"> </w:t>
      </w:r>
    </w:p>
    <w:p w14:paraId="61FDB52F" w14:textId="3183499C" w:rsidR="00A52600" w:rsidRPr="005F1C70" w:rsidRDefault="00A52600" w:rsidP="005F1C70">
      <w:pPr>
        <w:spacing w:after="240"/>
        <w:jc w:val="both"/>
        <w:rPr>
          <w:rFonts w:ascii="Times New Roman" w:hAnsi="Times New Roman" w:cs="Times New Roman"/>
          <w:sz w:val="20"/>
        </w:rPr>
      </w:pPr>
      <w:r w:rsidRPr="005F1C70">
        <w:rPr>
          <w:rFonts w:ascii="Times New Roman" w:hAnsi="Times New Roman" w:cs="Times New Roman"/>
          <w:b/>
          <w:sz w:val="20"/>
        </w:rPr>
        <w:t>Conclusion:</w:t>
      </w:r>
      <w:r w:rsidRPr="005F1C70">
        <w:rPr>
          <w:rFonts w:ascii="Times New Roman" w:hAnsi="Times New Roman" w:cs="Times New Roman"/>
          <w:sz w:val="20"/>
        </w:rPr>
        <w:t xml:space="preserve"> </w:t>
      </w:r>
      <w:proofErr w:type="spellStart"/>
      <w:r w:rsidRPr="005F1C70">
        <w:rPr>
          <w:rFonts w:ascii="Times New Roman" w:hAnsi="Times New Roman" w:cs="Times New Roman"/>
          <w:sz w:val="20"/>
        </w:rPr>
        <w:t>GuttaFlow</w:t>
      </w:r>
      <w:proofErr w:type="spellEnd"/>
      <w:r w:rsidRPr="005F1C70">
        <w:rPr>
          <w:rFonts w:ascii="Times New Roman" w:hAnsi="Times New Roman" w:cs="Times New Roman"/>
          <w:sz w:val="20"/>
        </w:rPr>
        <w:t xml:space="preserve"> 2 root canal sealer and EndoSequence BC Sealer </w:t>
      </w:r>
      <w:r w:rsidR="00220BF9" w:rsidRPr="005F1C70">
        <w:rPr>
          <w:rFonts w:ascii="Times New Roman" w:hAnsi="Times New Roman" w:cs="Times New Roman"/>
          <w:sz w:val="20"/>
        </w:rPr>
        <w:t>were</w:t>
      </w:r>
      <w:r w:rsidRPr="005F1C70">
        <w:rPr>
          <w:rFonts w:ascii="Times New Roman" w:hAnsi="Times New Roman" w:cs="Times New Roman"/>
          <w:sz w:val="20"/>
        </w:rPr>
        <w:t xml:space="preserve"> biocompatible with hPDLSCs and can be used during root canal obturation.</w:t>
      </w:r>
      <w:bookmarkStart w:id="0" w:name="_GoBack"/>
      <w:bookmarkEnd w:id="0"/>
    </w:p>
    <w:p w14:paraId="2F89E79B" w14:textId="510C89AF" w:rsidR="00F63E51" w:rsidRPr="005F1C70" w:rsidRDefault="005F1C70" w:rsidP="005F1C70">
      <w:pPr>
        <w:spacing w:before="240" w:after="120"/>
        <w:rPr>
          <w:rFonts w:ascii="Times New Roman" w:hAnsi="Times New Roman" w:cs="Times New Roman"/>
          <w:b/>
        </w:rPr>
      </w:pPr>
      <w:r w:rsidRPr="005F1C70">
        <w:rPr>
          <w:rFonts w:ascii="Times New Roman" w:hAnsi="Times New Roman" w:cs="Times New Roman"/>
          <w:b/>
        </w:rPr>
        <w:t>References</w:t>
      </w:r>
    </w:p>
    <w:p w14:paraId="780102DA" w14:textId="44F64855" w:rsidR="00C148B2" w:rsidRPr="005F1C70" w:rsidRDefault="00C968A1" w:rsidP="00146785">
      <w:pPr>
        <w:pStyle w:val="ListParagraph"/>
        <w:numPr>
          <w:ilvl w:val="0"/>
          <w:numId w:val="1"/>
        </w:numPr>
        <w:jc w:val="both"/>
        <w:rPr>
          <w:rFonts w:ascii="Times New Roman" w:hAnsi="Times New Roman" w:cs="Times New Roman"/>
          <w:sz w:val="20"/>
        </w:rPr>
      </w:pPr>
      <w:commentRangeStart w:id="1"/>
      <w:r>
        <w:rPr>
          <w:rFonts w:ascii="Times New Roman" w:hAnsi="Times New Roman" w:cs="Times New Roman"/>
          <w:sz w:val="20"/>
        </w:rPr>
        <w:t xml:space="preserve">Author name. </w:t>
      </w:r>
      <w:r w:rsidR="00C148B2" w:rsidRPr="005F1C70">
        <w:rPr>
          <w:rFonts w:ascii="Times New Roman" w:hAnsi="Times New Roman" w:cs="Times New Roman"/>
          <w:sz w:val="20"/>
        </w:rPr>
        <w:t>Efficacy of four local anaesthesia protocols for mandibular first molars with symptomatic irreversible pulpitis: A randomized clinical trial</w:t>
      </w:r>
      <w:commentRangeEnd w:id="1"/>
      <w:r>
        <w:rPr>
          <w:rStyle w:val="CommentReference"/>
        </w:rPr>
        <w:commentReference w:id="1"/>
      </w:r>
      <w:r w:rsidR="00C148B2" w:rsidRPr="005F1C70">
        <w:rPr>
          <w:rFonts w:ascii="Times New Roman" w:hAnsi="Times New Roman" w:cs="Times New Roman"/>
          <w:sz w:val="20"/>
        </w:rPr>
        <w:t xml:space="preserve">. </w:t>
      </w:r>
      <w:proofErr w:type="spellStart"/>
      <w:r w:rsidR="00146785">
        <w:rPr>
          <w:rFonts w:ascii="Times New Roman" w:hAnsi="Times New Roman" w:cs="Times New Roman"/>
          <w:sz w:val="20"/>
        </w:rPr>
        <w:t>Int</w:t>
      </w:r>
      <w:proofErr w:type="spellEnd"/>
      <w:r w:rsidR="00146785">
        <w:rPr>
          <w:rFonts w:ascii="Times New Roman" w:hAnsi="Times New Roman" w:cs="Times New Roman"/>
          <w:sz w:val="20"/>
        </w:rPr>
        <w:t xml:space="preserve"> </w:t>
      </w:r>
      <w:proofErr w:type="spellStart"/>
      <w:r w:rsidR="00146785">
        <w:rPr>
          <w:rFonts w:ascii="Times New Roman" w:hAnsi="Times New Roman" w:cs="Times New Roman"/>
          <w:sz w:val="20"/>
        </w:rPr>
        <w:t>Endod</w:t>
      </w:r>
      <w:proofErr w:type="spellEnd"/>
      <w:r w:rsidR="00146785">
        <w:rPr>
          <w:rFonts w:ascii="Times New Roman" w:hAnsi="Times New Roman" w:cs="Times New Roman"/>
          <w:sz w:val="20"/>
        </w:rPr>
        <w:t xml:space="preserve"> J</w:t>
      </w:r>
      <w:r w:rsidR="005F1C70">
        <w:rPr>
          <w:rFonts w:ascii="Times New Roman" w:hAnsi="Times New Roman" w:cs="Times New Roman"/>
          <w:sz w:val="20"/>
        </w:rPr>
        <w:t>.</w:t>
      </w:r>
      <w:r w:rsidR="00C148B2" w:rsidRPr="005F1C70">
        <w:rPr>
          <w:rFonts w:ascii="Times New Roman" w:hAnsi="Times New Roman" w:cs="Times New Roman"/>
          <w:sz w:val="20"/>
        </w:rPr>
        <w:t xml:space="preserve"> 202</w:t>
      </w:r>
      <w:r w:rsidR="005F1C70">
        <w:rPr>
          <w:rFonts w:ascii="Times New Roman" w:hAnsi="Times New Roman" w:cs="Times New Roman"/>
          <w:sz w:val="20"/>
        </w:rPr>
        <w:t>2</w:t>
      </w:r>
      <w:proofErr w:type="gramStart"/>
      <w:r w:rsidR="005F1C70">
        <w:rPr>
          <w:rFonts w:ascii="Times New Roman" w:hAnsi="Times New Roman" w:cs="Times New Roman"/>
          <w:sz w:val="20"/>
        </w:rPr>
        <w:t>;55:219</w:t>
      </w:r>
      <w:proofErr w:type="gramEnd"/>
      <w:r w:rsidR="005F1C70">
        <w:rPr>
          <w:rFonts w:ascii="Times New Roman" w:hAnsi="Times New Roman" w:cs="Times New Roman"/>
          <w:sz w:val="20"/>
        </w:rPr>
        <w:t>-</w:t>
      </w:r>
      <w:r w:rsidR="00C148B2" w:rsidRPr="005F1C70">
        <w:rPr>
          <w:rFonts w:ascii="Times New Roman" w:hAnsi="Times New Roman" w:cs="Times New Roman"/>
          <w:sz w:val="20"/>
        </w:rPr>
        <w:t>30.</w:t>
      </w:r>
    </w:p>
    <w:p w14:paraId="68BDBC8D" w14:textId="45BCC74D" w:rsidR="00C148B2" w:rsidRPr="005F1C70" w:rsidRDefault="00C148B2" w:rsidP="005F1C70">
      <w:pPr>
        <w:pStyle w:val="ListParagraph"/>
        <w:numPr>
          <w:ilvl w:val="0"/>
          <w:numId w:val="1"/>
        </w:numPr>
        <w:jc w:val="both"/>
        <w:rPr>
          <w:rFonts w:ascii="Times New Roman" w:hAnsi="Times New Roman" w:cs="Times New Roman"/>
          <w:sz w:val="20"/>
        </w:rPr>
      </w:pPr>
      <w:r w:rsidRPr="005F1C70">
        <w:rPr>
          <w:rFonts w:ascii="Times New Roman" w:hAnsi="Times New Roman" w:cs="Times New Roman"/>
          <w:sz w:val="20"/>
        </w:rPr>
        <w:t xml:space="preserve">The antibacterial effect and the incidence of post-operative pain after the application of nano-based intracanal medications during endodontic retreatment: </w:t>
      </w:r>
      <w:r w:rsidR="005F1C70">
        <w:rPr>
          <w:rFonts w:ascii="Times New Roman" w:hAnsi="Times New Roman" w:cs="Times New Roman"/>
          <w:sz w:val="20"/>
        </w:rPr>
        <w:t>A</w:t>
      </w:r>
      <w:r w:rsidRPr="005F1C70">
        <w:rPr>
          <w:rFonts w:ascii="Times New Roman" w:hAnsi="Times New Roman" w:cs="Times New Roman"/>
          <w:sz w:val="20"/>
        </w:rPr>
        <w:t xml:space="preserve"> randomized controlled clinical trial. </w:t>
      </w:r>
      <w:proofErr w:type="spellStart"/>
      <w:r w:rsidR="00146785">
        <w:rPr>
          <w:rFonts w:ascii="Times New Roman" w:hAnsi="Times New Roman" w:cs="Times New Roman"/>
          <w:sz w:val="20"/>
        </w:rPr>
        <w:t>Clin</w:t>
      </w:r>
      <w:proofErr w:type="spellEnd"/>
      <w:r w:rsidR="00146785" w:rsidRPr="00146785">
        <w:rPr>
          <w:rFonts w:ascii="Times New Roman" w:hAnsi="Times New Roman" w:cs="Times New Roman"/>
          <w:sz w:val="20"/>
        </w:rPr>
        <w:t xml:space="preserve"> Oral </w:t>
      </w:r>
      <w:proofErr w:type="spellStart"/>
      <w:r w:rsidR="00146785" w:rsidRPr="00146785">
        <w:rPr>
          <w:rFonts w:ascii="Times New Roman" w:hAnsi="Times New Roman" w:cs="Times New Roman"/>
          <w:sz w:val="20"/>
        </w:rPr>
        <w:t>Investig</w:t>
      </w:r>
      <w:proofErr w:type="spellEnd"/>
      <w:r w:rsidR="005F1C70">
        <w:rPr>
          <w:rFonts w:ascii="Times New Roman" w:hAnsi="Times New Roman" w:cs="Times New Roman"/>
          <w:sz w:val="20"/>
        </w:rPr>
        <w:t>.</w:t>
      </w:r>
      <w:r w:rsidRPr="005F1C70">
        <w:rPr>
          <w:rFonts w:ascii="Times New Roman" w:hAnsi="Times New Roman" w:cs="Times New Roman"/>
          <w:sz w:val="20"/>
        </w:rPr>
        <w:t xml:space="preserve"> </w:t>
      </w:r>
      <w:r w:rsidR="005F1C70">
        <w:rPr>
          <w:rFonts w:ascii="Times New Roman" w:hAnsi="Times New Roman" w:cs="Times New Roman"/>
          <w:sz w:val="20"/>
        </w:rPr>
        <w:t>2022</w:t>
      </w:r>
      <w:proofErr w:type="gramStart"/>
      <w:r w:rsidR="005F1C70">
        <w:rPr>
          <w:rFonts w:ascii="Times New Roman" w:hAnsi="Times New Roman" w:cs="Times New Roman"/>
          <w:sz w:val="20"/>
        </w:rPr>
        <w:t>;26:2155</w:t>
      </w:r>
      <w:proofErr w:type="gramEnd"/>
      <w:r w:rsidR="005F1C70">
        <w:rPr>
          <w:rFonts w:ascii="Times New Roman" w:hAnsi="Times New Roman" w:cs="Times New Roman"/>
          <w:sz w:val="20"/>
        </w:rPr>
        <w:t>-</w:t>
      </w:r>
      <w:r w:rsidRPr="005F1C70">
        <w:rPr>
          <w:rFonts w:ascii="Times New Roman" w:hAnsi="Times New Roman" w:cs="Times New Roman"/>
          <w:sz w:val="20"/>
        </w:rPr>
        <w:t>63.</w:t>
      </w:r>
    </w:p>
    <w:p w14:paraId="5682CBB0" w14:textId="64A48F77" w:rsidR="00C148B2" w:rsidRPr="005F1C70" w:rsidRDefault="00C148B2" w:rsidP="00146785">
      <w:pPr>
        <w:pStyle w:val="ListParagraph"/>
        <w:numPr>
          <w:ilvl w:val="0"/>
          <w:numId w:val="1"/>
        </w:numPr>
        <w:jc w:val="both"/>
        <w:rPr>
          <w:rFonts w:ascii="Times New Roman" w:hAnsi="Times New Roman" w:cs="Times New Roman"/>
          <w:sz w:val="20"/>
        </w:rPr>
      </w:pPr>
      <w:r w:rsidRPr="005F1C70">
        <w:rPr>
          <w:rFonts w:ascii="Times New Roman" w:hAnsi="Times New Roman" w:cs="Times New Roman"/>
          <w:sz w:val="20"/>
        </w:rPr>
        <w:t xml:space="preserve">Instrumentation kinematics does not affect bacterial reduction, post-operative pain and flare-ups: A randomized clinical trial. </w:t>
      </w:r>
      <w:proofErr w:type="spellStart"/>
      <w:r w:rsidR="00146785">
        <w:rPr>
          <w:rFonts w:ascii="Times New Roman" w:hAnsi="Times New Roman" w:cs="Times New Roman"/>
          <w:sz w:val="20"/>
        </w:rPr>
        <w:t>Int</w:t>
      </w:r>
      <w:proofErr w:type="spellEnd"/>
      <w:r w:rsidR="00146785">
        <w:rPr>
          <w:rFonts w:ascii="Times New Roman" w:hAnsi="Times New Roman" w:cs="Times New Roman"/>
          <w:sz w:val="20"/>
        </w:rPr>
        <w:t xml:space="preserve"> </w:t>
      </w:r>
      <w:proofErr w:type="spellStart"/>
      <w:r w:rsidR="00146785">
        <w:rPr>
          <w:rFonts w:ascii="Times New Roman" w:hAnsi="Times New Roman" w:cs="Times New Roman"/>
          <w:sz w:val="20"/>
        </w:rPr>
        <w:t>Endod</w:t>
      </w:r>
      <w:proofErr w:type="spellEnd"/>
      <w:r w:rsidR="00146785" w:rsidRPr="00146785">
        <w:rPr>
          <w:rFonts w:ascii="Times New Roman" w:hAnsi="Times New Roman" w:cs="Times New Roman"/>
          <w:sz w:val="20"/>
        </w:rPr>
        <w:t xml:space="preserve"> J</w:t>
      </w:r>
      <w:r w:rsidR="00146785">
        <w:rPr>
          <w:rFonts w:ascii="Times New Roman" w:hAnsi="Times New Roman" w:cs="Times New Roman"/>
          <w:sz w:val="20"/>
        </w:rPr>
        <w:t>.</w:t>
      </w:r>
      <w:r w:rsidRPr="005F1C70">
        <w:rPr>
          <w:rFonts w:ascii="Times New Roman" w:hAnsi="Times New Roman" w:cs="Times New Roman"/>
          <w:sz w:val="20"/>
        </w:rPr>
        <w:t xml:space="preserve"> 2022</w:t>
      </w:r>
      <w:r w:rsidR="005F1C70">
        <w:rPr>
          <w:rFonts w:ascii="Times New Roman" w:hAnsi="Times New Roman" w:cs="Times New Roman"/>
          <w:sz w:val="20"/>
        </w:rPr>
        <w:t>.</w:t>
      </w:r>
      <w:r w:rsidRPr="005F1C70">
        <w:rPr>
          <w:rFonts w:ascii="Times New Roman" w:hAnsi="Times New Roman" w:cs="Times New Roman"/>
          <w:sz w:val="20"/>
        </w:rPr>
        <w:t xml:space="preserve"> </w:t>
      </w:r>
    </w:p>
    <w:p w14:paraId="71283D6D" w14:textId="24F0EE0B" w:rsidR="00C148B2" w:rsidRPr="005F1C70" w:rsidRDefault="00C148B2" w:rsidP="00146785">
      <w:pPr>
        <w:pStyle w:val="ListParagraph"/>
        <w:numPr>
          <w:ilvl w:val="0"/>
          <w:numId w:val="1"/>
        </w:numPr>
        <w:jc w:val="both"/>
        <w:rPr>
          <w:rFonts w:ascii="Times New Roman" w:hAnsi="Times New Roman" w:cs="Times New Roman"/>
          <w:sz w:val="20"/>
        </w:rPr>
      </w:pPr>
      <w:r w:rsidRPr="005F1C70">
        <w:rPr>
          <w:rFonts w:ascii="Times New Roman" w:hAnsi="Times New Roman" w:cs="Times New Roman"/>
          <w:sz w:val="20"/>
        </w:rPr>
        <w:t xml:space="preserve">Anatomical analysis of mandibular posterior teeth using CBCT: An </w:t>
      </w:r>
      <w:proofErr w:type="spellStart"/>
      <w:r w:rsidR="005F1C70" w:rsidRPr="005F1C70">
        <w:rPr>
          <w:rFonts w:ascii="Times New Roman" w:hAnsi="Times New Roman" w:cs="Times New Roman"/>
          <w:sz w:val="20"/>
        </w:rPr>
        <w:t>endo</w:t>
      </w:r>
      <w:proofErr w:type="spellEnd"/>
      <w:r w:rsidR="005F1C70" w:rsidRPr="005F1C70">
        <w:rPr>
          <w:rFonts w:ascii="Times New Roman" w:hAnsi="Times New Roman" w:cs="Times New Roman"/>
          <w:sz w:val="20"/>
        </w:rPr>
        <w:t>-surgical perspective</w:t>
      </w:r>
      <w:r w:rsidR="005F1C70">
        <w:rPr>
          <w:rFonts w:ascii="Times New Roman" w:hAnsi="Times New Roman" w:cs="Times New Roman"/>
          <w:sz w:val="20"/>
        </w:rPr>
        <w:t xml:space="preserve">. </w:t>
      </w:r>
      <w:proofErr w:type="spellStart"/>
      <w:r w:rsidR="00146785">
        <w:rPr>
          <w:rFonts w:ascii="Times New Roman" w:hAnsi="Times New Roman" w:cs="Times New Roman"/>
          <w:sz w:val="20"/>
        </w:rPr>
        <w:t>Eur</w:t>
      </w:r>
      <w:proofErr w:type="spellEnd"/>
      <w:r w:rsidR="00146785">
        <w:rPr>
          <w:rFonts w:ascii="Times New Roman" w:hAnsi="Times New Roman" w:cs="Times New Roman"/>
          <w:sz w:val="20"/>
        </w:rPr>
        <w:t xml:space="preserve"> </w:t>
      </w:r>
      <w:proofErr w:type="spellStart"/>
      <w:r w:rsidR="00146785">
        <w:rPr>
          <w:rFonts w:ascii="Times New Roman" w:hAnsi="Times New Roman" w:cs="Times New Roman"/>
          <w:sz w:val="20"/>
        </w:rPr>
        <w:t>Endod</w:t>
      </w:r>
      <w:proofErr w:type="spellEnd"/>
      <w:r w:rsidR="00146785">
        <w:rPr>
          <w:rFonts w:ascii="Times New Roman" w:hAnsi="Times New Roman" w:cs="Times New Roman"/>
          <w:sz w:val="20"/>
        </w:rPr>
        <w:t xml:space="preserve"> J</w:t>
      </w:r>
      <w:r w:rsidR="005F1C70">
        <w:rPr>
          <w:rFonts w:ascii="Times New Roman" w:hAnsi="Times New Roman" w:cs="Times New Roman"/>
          <w:sz w:val="20"/>
        </w:rPr>
        <w:t>.</w:t>
      </w:r>
      <w:r w:rsidRPr="005F1C70">
        <w:rPr>
          <w:rFonts w:ascii="Times New Roman" w:hAnsi="Times New Roman" w:cs="Times New Roman"/>
          <w:sz w:val="20"/>
        </w:rPr>
        <w:t xml:space="preserve"> 202</w:t>
      </w:r>
      <w:r w:rsidR="005F1C70">
        <w:rPr>
          <w:rFonts w:ascii="Times New Roman" w:hAnsi="Times New Roman" w:cs="Times New Roman"/>
          <w:sz w:val="20"/>
        </w:rPr>
        <w:t>1</w:t>
      </w:r>
      <w:proofErr w:type="gramStart"/>
      <w:r w:rsidR="005F1C70">
        <w:rPr>
          <w:rFonts w:ascii="Times New Roman" w:hAnsi="Times New Roman" w:cs="Times New Roman"/>
          <w:sz w:val="20"/>
        </w:rPr>
        <w:t>;6:264</w:t>
      </w:r>
      <w:proofErr w:type="gramEnd"/>
      <w:r w:rsidR="005F1C70">
        <w:rPr>
          <w:rFonts w:ascii="Times New Roman" w:hAnsi="Times New Roman" w:cs="Times New Roman"/>
          <w:sz w:val="20"/>
        </w:rPr>
        <w:t>-</w:t>
      </w:r>
      <w:r w:rsidRPr="005F1C70">
        <w:rPr>
          <w:rFonts w:ascii="Times New Roman" w:hAnsi="Times New Roman" w:cs="Times New Roman"/>
          <w:sz w:val="20"/>
        </w:rPr>
        <w:t>70.</w:t>
      </w:r>
    </w:p>
    <w:p w14:paraId="01268133" w14:textId="5DCBCE32" w:rsidR="00C148B2" w:rsidRPr="005F1C70" w:rsidRDefault="00C148B2" w:rsidP="00146785">
      <w:pPr>
        <w:pStyle w:val="ListParagraph"/>
        <w:numPr>
          <w:ilvl w:val="0"/>
          <w:numId w:val="1"/>
        </w:numPr>
        <w:spacing w:after="100" w:afterAutospacing="1"/>
        <w:jc w:val="both"/>
        <w:rPr>
          <w:rFonts w:ascii="Times New Roman" w:hAnsi="Times New Roman" w:cs="Times New Roman"/>
          <w:sz w:val="20"/>
        </w:rPr>
      </w:pPr>
      <w:r w:rsidRPr="005F1C70">
        <w:rPr>
          <w:rFonts w:ascii="Times New Roman" w:hAnsi="Times New Roman" w:cs="Times New Roman"/>
          <w:sz w:val="20"/>
        </w:rPr>
        <w:t xml:space="preserve">Impact of canal taper and access cavity design on the life span of an endodontically treated mandibular molar: A finite element analysis. </w:t>
      </w:r>
      <w:r w:rsidR="00146785" w:rsidRPr="00146785">
        <w:rPr>
          <w:rFonts w:ascii="Times New Roman" w:hAnsi="Times New Roman" w:cs="Times New Roman"/>
          <w:sz w:val="20"/>
        </w:rPr>
        <w:t xml:space="preserve">J </w:t>
      </w:r>
      <w:proofErr w:type="spellStart"/>
      <w:r w:rsidR="00146785" w:rsidRPr="00146785">
        <w:rPr>
          <w:rFonts w:ascii="Times New Roman" w:hAnsi="Times New Roman" w:cs="Times New Roman"/>
          <w:sz w:val="20"/>
        </w:rPr>
        <w:t>Endod</w:t>
      </w:r>
      <w:proofErr w:type="spellEnd"/>
      <w:r w:rsidR="005F1C70">
        <w:rPr>
          <w:rFonts w:ascii="Times New Roman" w:hAnsi="Times New Roman" w:cs="Times New Roman"/>
          <w:sz w:val="20"/>
        </w:rPr>
        <w:t>.</w:t>
      </w:r>
      <w:r w:rsidRPr="005F1C70">
        <w:rPr>
          <w:rFonts w:ascii="Times New Roman" w:hAnsi="Times New Roman" w:cs="Times New Roman"/>
          <w:sz w:val="20"/>
        </w:rPr>
        <w:t xml:space="preserve"> 2021</w:t>
      </w:r>
      <w:proofErr w:type="gramStart"/>
      <w:r w:rsidRPr="005F1C70">
        <w:rPr>
          <w:rFonts w:ascii="Times New Roman" w:hAnsi="Times New Roman" w:cs="Times New Roman"/>
          <w:sz w:val="20"/>
        </w:rPr>
        <w:t>;</w:t>
      </w:r>
      <w:r w:rsidR="005F1C70">
        <w:rPr>
          <w:rFonts w:ascii="Times New Roman" w:hAnsi="Times New Roman" w:cs="Times New Roman"/>
          <w:sz w:val="20"/>
        </w:rPr>
        <w:t>47:1472</w:t>
      </w:r>
      <w:proofErr w:type="gramEnd"/>
      <w:r w:rsidR="005F1C70">
        <w:rPr>
          <w:rFonts w:ascii="Times New Roman" w:hAnsi="Times New Roman" w:cs="Times New Roman"/>
          <w:sz w:val="20"/>
        </w:rPr>
        <w:t>-</w:t>
      </w:r>
      <w:r w:rsidRPr="005F1C70">
        <w:rPr>
          <w:rFonts w:ascii="Times New Roman" w:hAnsi="Times New Roman" w:cs="Times New Roman"/>
          <w:sz w:val="20"/>
        </w:rPr>
        <w:t>80.</w:t>
      </w:r>
    </w:p>
    <w:p w14:paraId="246B3CB0" w14:textId="240CF5F7" w:rsidR="00A52600" w:rsidRPr="005F1C70" w:rsidRDefault="00F1550C" w:rsidP="005F1C70">
      <w:pPr>
        <w:spacing w:after="120"/>
        <w:rPr>
          <w:rFonts w:ascii="Times New Roman" w:hAnsi="Times New Roman" w:cs="Times New Roman"/>
          <w:b/>
        </w:rPr>
      </w:pPr>
      <w:r w:rsidRPr="005F1C70">
        <w:rPr>
          <w:rFonts w:ascii="Times New Roman" w:hAnsi="Times New Roman" w:cs="Times New Roman"/>
          <w:b/>
        </w:rPr>
        <w:t>Biography</w:t>
      </w:r>
    </w:p>
    <w:p w14:paraId="6A783A2D" w14:textId="24FE91D7" w:rsidR="00A833C8" w:rsidRPr="005F1C70" w:rsidRDefault="00A833C8" w:rsidP="00A833C8">
      <w:pPr>
        <w:jc w:val="both"/>
        <w:rPr>
          <w:rFonts w:ascii="Times New Roman" w:hAnsi="Times New Roman" w:cs="Times New Roman"/>
          <w:sz w:val="20"/>
        </w:rPr>
      </w:pPr>
      <w:r w:rsidRPr="005F1C70">
        <w:rPr>
          <w:rFonts w:ascii="Times New Roman" w:hAnsi="Times New Roman" w:cs="Times New Roman"/>
          <w:sz w:val="20"/>
        </w:rPr>
        <w:t>Shehab el Din Mohamed Saber</w:t>
      </w:r>
      <w:r w:rsidR="005F1C70" w:rsidRPr="005F1C70">
        <w:rPr>
          <w:rFonts w:ascii="Times New Roman" w:hAnsi="Times New Roman" w:cs="Times New Roman"/>
          <w:sz w:val="20"/>
        </w:rPr>
        <w:t xml:space="preserve">, </w:t>
      </w:r>
      <w:r w:rsidRPr="005F1C70">
        <w:rPr>
          <w:rFonts w:ascii="Times New Roman" w:hAnsi="Times New Roman" w:cs="Times New Roman"/>
          <w:sz w:val="20"/>
        </w:rPr>
        <w:t>Graduated from the Faculty of Oral and Dental Medicine, Cairo University in 1994. Then ob</w:t>
      </w:r>
      <w:r w:rsidR="00352890">
        <w:rPr>
          <w:rFonts w:ascii="Times New Roman" w:hAnsi="Times New Roman" w:cs="Times New Roman"/>
          <w:sz w:val="20"/>
        </w:rPr>
        <w:t>tained the Master degree and PhD</w:t>
      </w:r>
      <w:r w:rsidRPr="005F1C70">
        <w:rPr>
          <w:rFonts w:ascii="Times New Roman" w:hAnsi="Times New Roman" w:cs="Times New Roman"/>
          <w:sz w:val="20"/>
        </w:rPr>
        <w:t xml:space="preserve"> Degree in Conservative Dentistry (Endodontics) from the Faculty of Dentistry, Ain Shams University, </w:t>
      </w:r>
      <w:proofErr w:type="gramStart"/>
      <w:r w:rsidRPr="005F1C70">
        <w:rPr>
          <w:rFonts w:ascii="Times New Roman" w:hAnsi="Times New Roman" w:cs="Times New Roman"/>
          <w:sz w:val="20"/>
        </w:rPr>
        <w:t>Cairo</w:t>
      </w:r>
      <w:proofErr w:type="gramEnd"/>
      <w:r w:rsidRPr="005F1C70">
        <w:rPr>
          <w:rFonts w:ascii="Times New Roman" w:hAnsi="Times New Roman" w:cs="Times New Roman"/>
          <w:sz w:val="20"/>
        </w:rPr>
        <w:t xml:space="preserve"> in 2000 and 2006. Working currently as a professor at the Faculty of Dentistry. The British University in Egypt. Director of the Post-graduate Master program in Endodontics at the British University in Egypt. Director of the Center of Innovative Dental Sciences (CIDS) at the British University in Egypt. A Key opinion leader for VDW and Woodpecker, an active Board member of the Egyptian Association of Endodontists. An Editorial board member for the Australian Endodontic Journal and Endodontic Practice Today. Reviewed for Australian Endodontic Journal, Archives of Oral Biology, Odontology, Endodontic Practice Today, Journal of applied oral science, Indian journal of dental research, ACTA Odontologica Scandinavica, BMJ open, Clinical Oral Investigation, Iranian Endodontic journal, European Endodontic journal, Egyptian Dental Journal and Alexandria Dental journal. Research interests </w:t>
      </w:r>
      <w:r w:rsidRPr="005F1C70">
        <w:rPr>
          <w:rFonts w:ascii="Times New Roman" w:hAnsi="Times New Roman" w:cs="Times New Roman"/>
          <w:sz w:val="20"/>
        </w:rPr>
        <w:lastRenderedPageBreak/>
        <w:t>include tooth morphology and CBCT, tissue engineering and regenerative endodontics, endodontic biofilms, pain control, Bioceramics, instruments and instrumentation, and cell culture. Published more than 30 international publications since 2009 in the Journal of Endodontics, International Endodontic journal, Endodontic practice Today, European Journal of Dentistry, and Journal of Oral Science, Italian Endodontic journal, Clinical oral investigations, Infection and immunity, Nigerian Journal of clinical practice, Saudi dental journal and Saudi Endodontic journal. Lectured internationally at conferences organized by the European society of Endodontology the Arab society of Endodontology, and the Egyptian Association of Endodontists.</w:t>
      </w:r>
    </w:p>
    <w:p w14:paraId="0C8B9F2E" w14:textId="636668F9" w:rsidR="00F1550C" w:rsidRPr="005F1C70" w:rsidRDefault="00F1550C" w:rsidP="00A833C8">
      <w:pPr>
        <w:jc w:val="both"/>
        <w:rPr>
          <w:rFonts w:ascii="Times New Roman" w:hAnsi="Times New Roman" w:cs="Times New Roman"/>
          <w:sz w:val="20"/>
        </w:rPr>
      </w:pPr>
    </w:p>
    <w:p w14:paraId="6AD5FA50" w14:textId="2DF0B172" w:rsidR="00F1550C" w:rsidRPr="005F1C70" w:rsidRDefault="00F1550C" w:rsidP="00A833C8">
      <w:pPr>
        <w:jc w:val="both"/>
        <w:rPr>
          <w:rFonts w:ascii="Times New Roman" w:hAnsi="Times New Roman" w:cs="Times New Roman"/>
        </w:rPr>
      </w:pPr>
    </w:p>
    <w:p w14:paraId="05D428ED" w14:textId="3732BCA7" w:rsidR="00F1550C" w:rsidRPr="005F1C70" w:rsidRDefault="00F1550C" w:rsidP="00A833C8">
      <w:pPr>
        <w:jc w:val="both"/>
        <w:rPr>
          <w:rFonts w:ascii="Times New Roman" w:hAnsi="Times New Roman" w:cs="Times New Roman"/>
        </w:rPr>
      </w:pPr>
    </w:p>
    <w:p w14:paraId="307C211F" w14:textId="77777777" w:rsidR="00F1550C" w:rsidRPr="005F1C70" w:rsidRDefault="00F1550C" w:rsidP="00A833C8">
      <w:pPr>
        <w:jc w:val="both"/>
        <w:rPr>
          <w:rFonts w:ascii="Times New Roman" w:hAnsi="Times New Roman" w:cs="Times New Roman"/>
        </w:rPr>
      </w:pPr>
    </w:p>
    <w:p w14:paraId="4A68C335" w14:textId="77777777" w:rsidR="00A833C8" w:rsidRPr="005F1C70" w:rsidRDefault="00A833C8" w:rsidP="00F63E51">
      <w:pPr>
        <w:jc w:val="both"/>
        <w:rPr>
          <w:rFonts w:ascii="Times New Roman" w:hAnsi="Times New Roman" w:cs="Times New Roman"/>
        </w:rPr>
      </w:pPr>
    </w:p>
    <w:p w14:paraId="49BE571A" w14:textId="262068D3" w:rsidR="00F63E51" w:rsidRPr="005F1C70" w:rsidRDefault="00F63E51" w:rsidP="00F63E51">
      <w:pPr>
        <w:jc w:val="both"/>
        <w:rPr>
          <w:rFonts w:ascii="Times New Roman" w:hAnsi="Times New Roman" w:cs="Times New Roman"/>
        </w:rPr>
      </w:pPr>
    </w:p>
    <w:p w14:paraId="7E868F19" w14:textId="057A2ABB" w:rsidR="00F63E51" w:rsidRPr="005F1C70" w:rsidRDefault="00F63E51" w:rsidP="00F63E51">
      <w:pPr>
        <w:jc w:val="both"/>
        <w:rPr>
          <w:rFonts w:ascii="Times New Roman" w:hAnsi="Times New Roman" w:cs="Times New Roman"/>
        </w:rPr>
      </w:pPr>
    </w:p>
    <w:sectPr w:rsidR="00F63E51" w:rsidRPr="005F1C70" w:rsidSect="000D07F0">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6T15:10:00Z" w:initials="SS">
    <w:p w14:paraId="2C50D27F" w14:textId="77777777" w:rsidR="00C968A1" w:rsidRDefault="00C968A1">
      <w:pPr>
        <w:pStyle w:val="CommentText"/>
      </w:pPr>
      <w:r>
        <w:rPr>
          <w:rStyle w:val="CommentReference"/>
        </w:rPr>
        <w:annotationRef/>
      </w:r>
      <w:r>
        <w:t>Add author names and hyperlink all the titles in the references with publication links.</w:t>
      </w:r>
    </w:p>
    <w:p w14:paraId="50CF3F7D" w14:textId="77777777" w:rsidR="00C968A1" w:rsidRDefault="00C968A1">
      <w:pPr>
        <w:pStyle w:val="CommentText"/>
      </w:pPr>
    </w:p>
    <w:p w14:paraId="728BB000" w14:textId="1DCBBFB0" w:rsidR="00C968A1" w:rsidRDefault="00C968A1">
      <w:pPr>
        <w:pStyle w:val="CommentText"/>
      </w:pPr>
      <w:r>
        <w:t>Cite references in the abstract text part.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42169"/>
    <w:multiLevelType w:val="hybridMultilevel"/>
    <w:tmpl w:val="FB2ED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E51"/>
    <w:rsid w:val="000D07F0"/>
    <w:rsid w:val="00146785"/>
    <w:rsid w:val="00220BF9"/>
    <w:rsid w:val="002B4D6E"/>
    <w:rsid w:val="002D40B7"/>
    <w:rsid w:val="00352890"/>
    <w:rsid w:val="0057298A"/>
    <w:rsid w:val="005F1C70"/>
    <w:rsid w:val="006C1465"/>
    <w:rsid w:val="00A52600"/>
    <w:rsid w:val="00A833C8"/>
    <w:rsid w:val="00B37640"/>
    <w:rsid w:val="00C148B2"/>
    <w:rsid w:val="00C968A1"/>
    <w:rsid w:val="00CC73F1"/>
    <w:rsid w:val="00D132F1"/>
    <w:rsid w:val="00D136E8"/>
    <w:rsid w:val="00F1550C"/>
    <w:rsid w:val="00F63E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A3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33C8"/>
    <w:rPr>
      <w:color w:val="0563C1" w:themeColor="hyperlink"/>
      <w:u w:val="single"/>
    </w:rPr>
  </w:style>
  <w:style w:type="character" w:customStyle="1" w:styleId="UnresolvedMention">
    <w:name w:val="Unresolved Mention"/>
    <w:basedOn w:val="DefaultParagraphFont"/>
    <w:uiPriority w:val="99"/>
    <w:semiHidden/>
    <w:unhideWhenUsed/>
    <w:rsid w:val="00A833C8"/>
    <w:rPr>
      <w:color w:val="605E5C"/>
      <w:shd w:val="clear" w:color="auto" w:fill="E1DFDD"/>
    </w:rPr>
  </w:style>
  <w:style w:type="paragraph" w:styleId="ListParagraph">
    <w:name w:val="List Paragraph"/>
    <w:basedOn w:val="Normal"/>
    <w:uiPriority w:val="34"/>
    <w:qFormat/>
    <w:rsid w:val="005F1C70"/>
    <w:pPr>
      <w:ind w:left="720"/>
      <w:contextualSpacing/>
    </w:pPr>
  </w:style>
  <w:style w:type="paragraph" w:styleId="BalloonText">
    <w:name w:val="Balloon Text"/>
    <w:basedOn w:val="Normal"/>
    <w:link w:val="BalloonTextChar"/>
    <w:uiPriority w:val="99"/>
    <w:semiHidden/>
    <w:unhideWhenUsed/>
    <w:rsid w:val="005F1C70"/>
    <w:rPr>
      <w:rFonts w:ascii="Tahoma" w:hAnsi="Tahoma" w:cs="Tahoma"/>
      <w:sz w:val="16"/>
      <w:szCs w:val="16"/>
    </w:rPr>
  </w:style>
  <w:style w:type="character" w:customStyle="1" w:styleId="BalloonTextChar">
    <w:name w:val="Balloon Text Char"/>
    <w:basedOn w:val="DefaultParagraphFont"/>
    <w:link w:val="BalloonText"/>
    <w:uiPriority w:val="99"/>
    <w:semiHidden/>
    <w:rsid w:val="005F1C70"/>
    <w:rPr>
      <w:rFonts w:ascii="Tahoma" w:hAnsi="Tahoma" w:cs="Tahoma"/>
      <w:sz w:val="16"/>
      <w:szCs w:val="16"/>
    </w:rPr>
  </w:style>
  <w:style w:type="character" w:styleId="CommentReference">
    <w:name w:val="annotation reference"/>
    <w:basedOn w:val="DefaultParagraphFont"/>
    <w:uiPriority w:val="99"/>
    <w:semiHidden/>
    <w:unhideWhenUsed/>
    <w:rsid w:val="00C968A1"/>
    <w:rPr>
      <w:sz w:val="16"/>
      <w:szCs w:val="16"/>
    </w:rPr>
  </w:style>
  <w:style w:type="paragraph" w:styleId="CommentText">
    <w:name w:val="annotation text"/>
    <w:basedOn w:val="Normal"/>
    <w:link w:val="CommentTextChar"/>
    <w:uiPriority w:val="99"/>
    <w:semiHidden/>
    <w:unhideWhenUsed/>
    <w:rsid w:val="00C968A1"/>
    <w:rPr>
      <w:sz w:val="20"/>
      <w:szCs w:val="20"/>
    </w:rPr>
  </w:style>
  <w:style w:type="character" w:customStyle="1" w:styleId="CommentTextChar">
    <w:name w:val="Comment Text Char"/>
    <w:basedOn w:val="DefaultParagraphFont"/>
    <w:link w:val="CommentText"/>
    <w:uiPriority w:val="99"/>
    <w:semiHidden/>
    <w:rsid w:val="00C968A1"/>
    <w:rPr>
      <w:sz w:val="20"/>
      <w:szCs w:val="20"/>
    </w:rPr>
  </w:style>
  <w:style w:type="paragraph" w:styleId="CommentSubject">
    <w:name w:val="annotation subject"/>
    <w:basedOn w:val="CommentText"/>
    <w:next w:val="CommentText"/>
    <w:link w:val="CommentSubjectChar"/>
    <w:uiPriority w:val="99"/>
    <w:semiHidden/>
    <w:unhideWhenUsed/>
    <w:rsid w:val="00C968A1"/>
    <w:rPr>
      <w:b/>
      <w:bCs/>
    </w:rPr>
  </w:style>
  <w:style w:type="character" w:customStyle="1" w:styleId="CommentSubjectChar">
    <w:name w:val="Comment Subject Char"/>
    <w:basedOn w:val="CommentTextChar"/>
    <w:link w:val="CommentSubject"/>
    <w:uiPriority w:val="99"/>
    <w:semiHidden/>
    <w:rsid w:val="00C968A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33C8"/>
    <w:rPr>
      <w:color w:val="0563C1" w:themeColor="hyperlink"/>
      <w:u w:val="single"/>
    </w:rPr>
  </w:style>
  <w:style w:type="character" w:customStyle="1" w:styleId="UnresolvedMention">
    <w:name w:val="Unresolved Mention"/>
    <w:basedOn w:val="DefaultParagraphFont"/>
    <w:uiPriority w:val="99"/>
    <w:semiHidden/>
    <w:unhideWhenUsed/>
    <w:rsid w:val="00A833C8"/>
    <w:rPr>
      <w:color w:val="605E5C"/>
      <w:shd w:val="clear" w:color="auto" w:fill="E1DFDD"/>
    </w:rPr>
  </w:style>
  <w:style w:type="paragraph" w:styleId="ListParagraph">
    <w:name w:val="List Paragraph"/>
    <w:basedOn w:val="Normal"/>
    <w:uiPriority w:val="34"/>
    <w:qFormat/>
    <w:rsid w:val="005F1C70"/>
    <w:pPr>
      <w:ind w:left="720"/>
      <w:contextualSpacing/>
    </w:pPr>
  </w:style>
  <w:style w:type="paragraph" w:styleId="BalloonText">
    <w:name w:val="Balloon Text"/>
    <w:basedOn w:val="Normal"/>
    <w:link w:val="BalloonTextChar"/>
    <w:uiPriority w:val="99"/>
    <w:semiHidden/>
    <w:unhideWhenUsed/>
    <w:rsid w:val="005F1C70"/>
    <w:rPr>
      <w:rFonts w:ascii="Tahoma" w:hAnsi="Tahoma" w:cs="Tahoma"/>
      <w:sz w:val="16"/>
      <w:szCs w:val="16"/>
    </w:rPr>
  </w:style>
  <w:style w:type="character" w:customStyle="1" w:styleId="BalloonTextChar">
    <w:name w:val="Balloon Text Char"/>
    <w:basedOn w:val="DefaultParagraphFont"/>
    <w:link w:val="BalloonText"/>
    <w:uiPriority w:val="99"/>
    <w:semiHidden/>
    <w:rsid w:val="005F1C70"/>
    <w:rPr>
      <w:rFonts w:ascii="Tahoma" w:hAnsi="Tahoma" w:cs="Tahoma"/>
      <w:sz w:val="16"/>
      <w:szCs w:val="16"/>
    </w:rPr>
  </w:style>
  <w:style w:type="character" w:styleId="CommentReference">
    <w:name w:val="annotation reference"/>
    <w:basedOn w:val="DefaultParagraphFont"/>
    <w:uiPriority w:val="99"/>
    <w:semiHidden/>
    <w:unhideWhenUsed/>
    <w:rsid w:val="00C968A1"/>
    <w:rPr>
      <w:sz w:val="16"/>
      <w:szCs w:val="16"/>
    </w:rPr>
  </w:style>
  <w:style w:type="paragraph" w:styleId="CommentText">
    <w:name w:val="annotation text"/>
    <w:basedOn w:val="Normal"/>
    <w:link w:val="CommentTextChar"/>
    <w:uiPriority w:val="99"/>
    <w:semiHidden/>
    <w:unhideWhenUsed/>
    <w:rsid w:val="00C968A1"/>
    <w:rPr>
      <w:sz w:val="20"/>
      <w:szCs w:val="20"/>
    </w:rPr>
  </w:style>
  <w:style w:type="character" w:customStyle="1" w:styleId="CommentTextChar">
    <w:name w:val="Comment Text Char"/>
    <w:basedOn w:val="DefaultParagraphFont"/>
    <w:link w:val="CommentText"/>
    <w:uiPriority w:val="99"/>
    <w:semiHidden/>
    <w:rsid w:val="00C968A1"/>
    <w:rPr>
      <w:sz w:val="20"/>
      <w:szCs w:val="20"/>
    </w:rPr>
  </w:style>
  <w:style w:type="paragraph" w:styleId="CommentSubject">
    <w:name w:val="annotation subject"/>
    <w:basedOn w:val="CommentText"/>
    <w:next w:val="CommentText"/>
    <w:link w:val="CommentSubjectChar"/>
    <w:uiPriority w:val="99"/>
    <w:semiHidden/>
    <w:unhideWhenUsed/>
    <w:rsid w:val="00C968A1"/>
    <w:rPr>
      <w:b/>
      <w:bCs/>
    </w:rPr>
  </w:style>
  <w:style w:type="character" w:customStyle="1" w:styleId="CommentSubjectChar">
    <w:name w:val="Comment Subject Char"/>
    <w:basedOn w:val="CommentTextChar"/>
    <w:link w:val="CommentSubject"/>
    <w:uiPriority w:val="99"/>
    <w:semiHidden/>
    <w:rsid w:val="00C968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020FA-5F3F-4912-B869-34B0FD873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Swetha Sandala</cp:lastModifiedBy>
  <cp:revision>11</cp:revision>
  <dcterms:created xsi:type="dcterms:W3CDTF">2022-02-27T11:06:00Z</dcterms:created>
  <dcterms:modified xsi:type="dcterms:W3CDTF">2022-05-26T09:43:00Z</dcterms:modified>
</cp:coreProperties>
</file>