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46B" w:rsidRPr="005B046B" w:rsidRDefault="005B046B" w:rsidP="005B046B">
      <w:pPr>
        <w:spacing w:line="1" w:lineRule="exact"/>
        <w:rPr>
          <w:sz w:val="24"/>
          <w:szCs w:val="24"/>
        </w:rPr>
      </w:pPr>
    </w:p>
    <w:p w:rsidR="005B046B" w:rsidRPr="005B046B" w:rsidRDefault="005B046B" w:rsidP="005B046B">
      <w:pPr>
        <w:spacing w:after="100" w:afterAutospacing="1" w:line="249" w:lineRule="auto"/>
        <w:rPr>
          <w:rFonts w:eastAsia="Times New Roman"/>
          <w:b/>
          <w:sz w:val="32"/>
          <w:szCs w:val="28"/>
        </w:rPr>
      </w:pPr>
      <w:commentRangeStart w:id="0"/>
      <w:r w:rsidRPr="005B046B">
        <w:rPr>
          <w:rFonts w:eastAsia="Times New Roman"/>
          <w:b/>
          <w:sz w:val="32"/>
          <w:szCs w:val="28"/>
        </w:rPr>
        <w:t>Title</w:t>
      </w:r>
      <w:commentRangeEnd w:id="0"/>
      <w:r>
        <w:rPr>
          <w:rStyle w:val="CommentReference"/>
        </w:rPr>
        <w:commentReference w:id="0"/>
      </w:r>
    </w:p>
    <w:p w:rsidR="005B046B" w:rsidRPr="005B046B" w:rsidRDefault="005B046B" w:rsidP="005B046B">
      <w:pPr>
        <w:spacing w:after="240" w:line="249" w:lineRule="auto"/>
        <w:rPr>
          <w:rFonts w:eastAsia="Times New Roman"/>
          <w:sz w:val="24"/>
          <w:szCs w:val="28"/>
        </w:rPr>
      </w:pPr>
      <w:proofErr w:type="spellStart"/>
      <w:r w:rsidRPr="005B046B">
        <w:rPr>
          <w:rFonts w:eastAsia="Times New Roman"/>
          <w:sz w:val="24"/>
          <w:szCs w:val="28"/>
        </w:rPr>
        <w:t>Najmi</w:t>
      </w:r>
      <w:proofErr w:type="spellEnd"/>
      <w:r w:rsidRPr="005B046B">
        <w:rPr>
          <w:rFonts w:eastAsia="Times New Roman"/>
          <w:sz w:val="24"/>
          <w:szCs w:val="28"/>
        </w:rPr>
        <w:t xml:space="preserve"> M</w:t>
      </w:r>
    </w:p>
    <w:p w:rsidR="005B046B" w:rsidRPr="005B046B" w:rsidRDefault="005B046B" w:rsidP="005B046B">
      <w:pPr>
        <w:spacing w:after="100" w:afterAutospacing="1" w:line="249" w:lineRule="auto"/>
        <w:rPr>
          <w:rFonts w:eastAsia="Times New Roman"/>
          <w:szCs w:val="28"/>
        </w:rPr>
      </w:pPr>
      <w:commentRangeStart w:id="1"/>
      <w:r w:rsidRPr="005B046B">
        <w:rPr>
          <w:rFonts w:eastAsia="Times New Roman"/>
          <w:szCs w:val="28"/>
        </w:rPr>
        <w:t>University, Country</w:t>
      </w:r>
      <w:commentRangeEnd w:id="1"/>
      <w:r>
        <w:rPr>
          <w:rStyle w:val="CommentReference"/>
        </w:rPr>
        <w:commentReference w:id="1"/>
      </w:r>
    </w:p>
    <w:p w:rsidR="005B046B" w:rsidRPr="005B046B" w:rsidRDefault="005B046B" w:rsidP="005B046B">
      <w:pPr>
        <w:spacing w:before="240" w:after="100" w:afterAutospacing="1" w:line="249" w:lineRule="auto"/>
        <w:jc w:val="center"/>
        <w:rPr>
          <w:rFonts w:eastAsia="Times New Roman"/>
          <w:b/>
          <w:sz w:val="24"/>
          <w:szCs w:val="28"/>
        </w:rPr>
      </w:pPr>
      <w:r w:rsidRPr="005B046B">
        <w:rPr>
          <w:rFonts w:eastAsia="Times New Roman"/>
          <w:b/>
          <w:sz w:val="24"/>
          <w:szCs w:val="28"/>
        </w:rPr>
        <w:t>Abstract</w:t>
      </w:r>
    </w:p>
    <w:p w:rsidR="003D625F" w:rsidRPr="005B046B" w:rsidRDefault="0055413F" w:rsidP="005B046B">
      <w:pPr>
        <w:spacing w:line="249" w:lineRule="auto"/>
        <w:jc w:val="both"/>
        <w:rPr>
          <w:sz w:val="20"/>
          <w:szCs w:val="20"/>
        </w:rPr>
      </w:pPr>
      <w:commentRangeStart w:id="2"/>
      <w:r w:rsidRPr="005B046B">
        <w:rPr>
          <w:rFonts w:eastAsia="Times New Roman"/>
          <w:sz w:val="20"/>
          <w:szCs w:val="20"/>
        </w:rPr>
        <w:t xml:space="preserve">This study </w:t>
      </w:r>
      <w:r w:rsidRPr="005B046B">
        <w:rPr>
          <w:rFonts w:eastAsia="Times New Roman"/>
          <w:sz w:val="20"/>
          <w:szCs w:val="20"/>
        </w:rPr>
        <w:t xml:space="preserve">evaluated the synthesis of novel binary functional adsorbent based on </w:t>
      </w:r>
      <w:proofErr w:type="spellStart"/>
      <w:r w:rsidRPr="005B046B">
        <w:rPr>
          <w:rFonts w:eastAsia="Times New Roman"/>
          <w:sz w:val="20"/>
          <w:szCs w:val="20"/>
        </w:rPr>
        <w:t>sporopollenin</w:t>
      </w:r>
      <w:proofErr w:type="spellEnd"/>
      <w:r w:rsidRPr="005B046B">
        <w:rPr>
          <w:rFonts w:eastAsia="Times New Roman"/>
          <w:sz w:val="20"/>
          <w:szCs w:val="20"/>
        </w:rPr>
        <w:t>, magnetic nanoparticles</w:t>
      </w:r>
      <w:r w:rsidRPr="005B046B">
        <w:rPr>
          <w:rFonts w:eastAsia="Times New Roman"/>
          <w:sz w:val="20"/>
          <w:szCs w:val="20"/>
        </w:rPr>
        <w:t xml:space="preserve"> and </w:t>
      </w:r>
      <w:proofErr w:type="spellStart"/>
      <w:r w:rsidRPr="005B046B">
        <w:rPr>
          <w:rFonts w:eastAsia="Times New Roman"/>
          <w:sz w:val="20"/>
          <w:szCs w:val="20"/>
        </w:rPr>
        <w:t>polyaniline</w:t>
      </w:r>
      <w:proofErr w:type="spellEnd"/>
      <w:r w:rsidRPr="005B046B">
        <w:rPr>
          <w:rFonts w:eastAsia="Times New Roman"/>
          <w:sz w:val="20"/>
          <w:szCs w:val="20"/>
        </w:rPr>
        <w:t xml:space="preserve"> to produce MSP-PANI. The MSP-PANI was applied to enhance uptake of lead ions (Pb</w:t>
      </w:r>
      <w:r w:rsidRPr="005B046B">
        <w:rPr>
          <w:rFonts w:eastAsia="Times New Roman"/>
          <w:sz w:val="20"/>
          <w:szCs w:val="20"/>
          <w:vertAlign w:val="superscript"/>
        </w:rPr>
        <w:t>2+</w:t>
      </w:r>
      <w:r w:rsidRPr="005B046B">
        <w:rPr>
          <w:rFonts w:eastAsia="Times New Roman"/>
          <w:sz w:val="20"/>
          <w:szCs w:val="20"/>
        </w:rPr>
        <w:t>) from wastewater samples. The functionalities, s</w:t>
      </w:r>
      <w:r w:rsidRPr="005B046B">
        <w:rPr>
          <w:rFonts w:eastAsia="Times New Roman"/>
          <w:sz w:val="20"/>
          <w:szCs w:val="20"/>
        </w:rPr>
        <w:t xml:space="preserve">urface morphology, magnetic properties, and elemental composition of the newly synthesized nanocomposite were investigated using Fourier </w:t>
      </w:r>
      <w:r w:rsidR="005B046B" w:rsidRPr="005B046B">
        <w:rPr>
          <w:rFonts w:eastAsia="Times New Roman"/>
          <w:sz w:val="20"/>
          <w:szCs w:val="20"/>
        </w:rPr>
        <w:t>Transform Infrared Spectroscopy</w:t>
      </w:r>
      <w:r w:rsidRPr="005B046B">
        <w:rPr>
          <w:rFonts w:eastAsia="Times New Roman"/>
          <w:sz w:val="20"/>
          <w:szCs w:val="20"/>
        </w:rPr>
        <w:t xml:space="preserve"> (FTIR), </w:t>
      </w:r>
      <w:r w:rsidR="005B046B" w:rsidRPr="005B046B">
        <w:rPr>
          <w:rFonts w:eastAsia="Times New Roman"/>
          <w:sz w:val="20"/>
          <w:szCs w:val="20"/>
        </w:rPr>
        <w:t xml:space="preserve">Field Emission Scanning Electron Microscopy </w:t>
      </w:r>
      <w:r w:rsidRPr="005B046B">
        <w:rPr>
          <w:rFonts w:eastAsia="Times New Roman"/>
          <w:sz w:val="20"/>
          <w:szCs w:val="20"/>
        </w:rPr>
        <w:t xml:space="preserve">(FE-SEM), </w:t>
      </w:r>
      <w:r w:rsidR="005B046B" w:rsidRPr="005B046B">
        <w:rPr>
          <w:rFonts w:eastAsia="Times New Roman"/>
          <w:sz w:val="20"/>
          <w:szCs w:val="20"/>
        </w:rPr>
        <w:t xml:space="preserve">Vibration Sample Magnetometer </w:t>
      </w:r>
      <w:r w:rsidR="005B046B">
        <w:rPr>
          <w:rFonts w:eastAsia="Times New Roman"/>
          <w:sz w:val="20"/>
          <w:szCs w:val="20"/>
        </w:rPr>
        <w:t>(VSM)</w:t>
      </w:r>
      <w:r w:rsidRPr="005B046B">
        <w:rPr>
          <w:rFonts w:eastAsia="Times New Roman"/>
          <w:sz w:val="20"/>
          <w:szCs w:val="20"/>
        </w:rPr>
        <w:t xml:space="preserve"> and </w:t>
      </w:r>
      <w:r w:rsidR="005B046B" w:rsidRPr="005B046B">
        <w:rPr>
          <w:rFonts w:eastAsia="Times New Roman"/>
          <w:sz w:val="20"/>
          <w:szCs w:val="20"/>
        </w:rPr>
        <w:t xml:space="preserve">Energy-Dispersive </w:t>
      </w:r>
      <w:r w:rsidRPr="005B046B">
        <w:rPr>
          <w:rFonts w:eastAsia="Times New Roman"/>
          <w:sz w:val="20"/>
          <w:szCs w:val="20"/>
        </w:rPr>
        <w:t>X</w:t>
      </w:r>
      <w:r w:rsidR="005B046B" w:rsidRPr="005B046B">
        <w:rPr>
          <w:rFonts w:eastAsia="Times New Roman"/>
          <w:sz w:val="20"/>
          <w:szCs w:val="20"/>
        </w:rPr>
        <w:t xml:space="preserve">-Ray Spectroscopy </w:t>
      </w:r>
      <w:r w:rsidRPr="005B046B">
        <w:rPr>
          <w:rFonts w:eastAsia="Times New Roman"/>
          <w:sz w:val="20"/>
          <w:szCs w:val="20"/>
        </w:rPr>
        <w:t>(EDX)</w:t>
      </w:r>
      <w:r w:rsidRPr="005B046B">
        <w:rPr>
          <w:rFonts w:eastAsia="Times New Roman"/>
          <w:sz w:val="20"/>
          <w:szCs w:val="20"/>
        </w:rPr>
        <w:t xml:space="preserve"> respectively. The experimental condition for the adsorption process was MSP/PANI ratio 1:1, pH</w:t>
      </w:r>
      <w:r w:rsidRPr="005B046B">
        <w:rPr>
          <w:rFonts w:eastAsia="Times New Roman"/>
          <w:sz w:val="20"/>
          <w:szCs w:val="20"/>
        </w:rPr>
        <w:t>~6, adsorbent dosage 40 mg</w:t>
      </w:r>
      <w:r w:rsidRPr="005B046B">
        <w:rPr>
          <w:rFonts w:eastAsia="Times New Roman"/>
          <w:sz w:val="20"/>
          <w:szCs w:val="20"/>
        </w:rPr>
        <w:t xml:space="preserve"> and contact time 90 min at room temperature.</w:t>
      </w:r>
      <w:commentRangeEnd w:id="2"/>
      <w:r>
        <w:rPr>
          <w:rStyle w:val="CommentReference"/>
        </w:rPr>
        <w:commentReference w:id="2"/>
      </w:r>
    </w:p>
    <w:p w:rsidR="003D625F" w:rsidRPr="005B046B" w:rsidRDefault="003D625F" w:rsidP="005B046B">
      <w:pPr>
        <w:spacing w:line="199" w:lineRule="exact"/>
        <w:jc w:val="both"/>
        <w:rPr>
          <w:sz w:val="20"/>
          <w:szCs w:val="20"/>
        </w:rPr>
      </w:pPr>
    </w:p>
    <w:p w:rsidR="003D625F" w:rsidRPr="005B046B" w:rsidRDefault="0055413F" w:rsidP="005B046B">
      <w:pPr>
        <w:spacing w:line="242" w:lineRule="auto"/>
        <w:jc w:val="both"/>
        <w:rPr>
          <w:sz w:val="20"/>
          <w:szCs w:val="20"/>
        </w:rPr>
      </w:pPr>
      <w:r w:rsidRPr="005B046B">
        <w:rPr>
          <w:rFonts w:eastAsia="Times New Roman"/>
          <w:sz w:val="20"/>
          <w:szCs w:val="20"/>
        </w:rPr>
        <w:t>Under the proposed conditio</w:t>
      </w:r>
      <w:r w:rsidRPr="005B046B">
        <w:rPr>
          <w:rFonts w:eastAsia="Times New Roman"/>
          <w:sz w:val="20"/>
          <w:szCs w:val="20"/>
        </w:rPr>
        <w:t xml:space="preserve">n, lead ions </w:t>
      </w:r>
      <w:r w:rsidR="005B046B" w:rsidRPr="005B046B">
        <w:rPr>
          <w:rFonts w:eastAsia="Times New Roman"/>
          <w:sz w:val="20"/>
          <w:szCs w:val="20"/>
        </w:rPr>
        <w:t>removal was</w:t>
      </w:r>
      <w:r w:rsidRPr="005B046B">
        <w:rPr>
          <w:rFonts w:eastAsia="Times New Roman"/>
          <w:sz w:val="20"/>
          <w:szCs w:val="20"/>
        </w:rPr>
        <w:t xml:space="preserve"> obtained as 8</w:t>
      </w:r>
      <w:r w:rsidR="005B046B">
        <w:rPr>
          <w:rFonts w:eastAsia="Times New Roman"/>
          <w:sz w:val="20"/>
          <w:szCs w:val="20"/>
        </w:rPr>
        <w:t xml:space="preserve">3%, 88% and 95% for MSPE, PANI and MSP/PANI </w:t>
      </w:r>
      <w:r w:rsidRPr="005B046B">
        <w:rPr>
          <w:rFonts w:eastAsia="Times New Roman"/>
          <w:sz w:val="20"/>
          <w:szCs w:val="20"/>
        </w:rPr>
        <w:t>respectively. Based on the experimental and predicted data, the adsorption was corresponded to the psudo-second-order (R</w:t>
      </w:r>
      <w:r w:rsidRPr="005B046B">
        <w:rPr>
          <w:rFonts w:eastAsia="Times New Roman"/>
          <w:sz w:val="20"/>
          <w:szCs w:val="20"/>
          <w:vertAlign w:val="superscript"/>
        </w:rPr>
        <w:t>2</w:t>
      </w:r>
      <w:r w:rsidR="005B046B">
        <w:rPr>
          <w:rFonts w:eastAsia="Times New Roman"/>
          <w:sz w:val="20"/>
          <w:szCs w:val="20"/>
        </w:rPr>
        <w:t>=</w:t>
      </w:r>
      <w:r w:rsidRPr="005B046B">
        <w:rPr>
          <w:rFonts w:eastAsia="Times New Roman"/>
          <w:sz w:val="20"/>
          <w:szCs w:val="20"/>
        </w:rPr>
        <w:t>0.999) kinetics model, and the adsorption equil</w:t>
      </w:r>
      <w:r w:rsidRPr="005B046B">
        <w:rPr>
          <w:rFonts w:eastAsia="Times New Roman"/>
          <w:sz w:val="20"/>
          <w:szCs w:val="20"/>
        </w:rPr>
        <w:t>ibrium corresponded to the Langmuir model (R</w:t>
      </w:r>
      <w:r w:rsidRPr="005B046B">
        <w:rPr>
          <w:rFonts w:eastAsia="Times New Roman"/>
          <w:sz w:val="20"/>
          <w:szCs w:val="20"/>
          <w:vertAlign w:val="superscript"/>
        </w:rPr>
        <w:t>2</w:t>
      </w:r>
      <w:r w:rsidR="005B046B">
        <w:rPr>
          <w:rFonts w:eastAsia="Times New Roman"/>
          <w:sz w:val="20"/>
          <w:szCs w:val="20"/>
        </w:rPr>
        <w:t>=</w:t>
      </w:r>
      <w:r w:rsidRPr="005B046B">
        <w:rPr>
          <w:rFonts w:eastAsia="Times New Roman"/>
          <w:sz w:val="20"/>
          <w:szCs w:val="20"/>
        </w:rPr>
        <w:t>0.996). Langmuir isotherm showed</w:t>
      </w:r>
      <w:bookmarkStart w:id="3" w:name="_GoBack"/>
      <w:bookmarkEnd w:id="3"/>
      <w:r w:rsidRPr="005B046B">
        <w:rPr>
          <w:rFonts w:eastAsia="Times New Roman"/>
          <w:sz w:val="20"/>
          <w:szCs w:val="20"/>
        </w:rPr>
        <w:t xml:space="preserve"> the maximum adsorption capacity of MSP-PANI for lead ions was 163 mg/g and followed the monolayer pattern. Hence, thermodynamic model under Van’t Hoff equation suggested that </w:t>
      </w:r>
      <w:r w:rsidRPr="005B046B">
        <w:rPr>
          <w:rFonts w:eastAsia="Times New Roman"/>
          <w:sz w:val="20"/>
          <w:szCs w:val="20"/>
        </w:rPr>
        <w:t>the adsorption mechanism was physio-sorption with endothermic nature. Therefore, this research can help the researchers to use magnetic nanoparticles for lead removal in highly polluted areas.</w:t>
      </w:r>
    </w:p>
    <w:p w:rsidR="003D625F" w:rsidRDefault="003D625F">
      <w:pPr>
        <w:spacing w:line="200" w:lineRule="exact"/>
        <w:rPr>
          <w:sz w:val="24"/>
          <w:szCs w:val="24"/>
        </w:rPr>
      </w:pPr>
    </w:p>
    <w:p w:rsidR="003D625F" w:rsidRDefault="003D625F">
      <w:pPr>
        <w:spacing w:line="200" w:lineRule="exact"/>
        <w:rPr>
          <w:sz w:val="24"/>
          <w:szCs w:val="24"/>
        </w:rPr>
      </w:pPr>
    </w:p>
    <w:p w:rsidR="003D625F" w:rsidRDefault="003D625F">
      <w:pPr>
        <w:spacing w:line="28" w:lineRule="exact"/>
        <w:rPr>
          <w:sz w:val="24"/>
          <w:szCs w:val="24"/>
        </w:rPr>
      </w:pPr>
    </w:p>
    <w:sectPr w:rsidR="003D625F">
      <w:pgSz w:w="12240" w:h="15840"/>
      <w:pgMar w:top="1440" w:right="1440" w:bottom="1440" w:left="1440" w:header="0" w:footer="0" w:gutter="0"/>
      <w:cols w:space="720" w:equalWidth="0">
        <w:col w:w="9360"/>
      </w:cols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24T11:47:00Z" w:initials="SS">
    <w:p w:rsidR="005B046B" w:rsidRPr="005B046B" w:rsidRDefault="005B046B">
      <w:pPr>
        <w:pStyle w:val="CommentText"/>
        <w:rPr>
          <w:sz w:val="32"/>
          <w:szCs w:val="32"/>
        </w:rPr>
      </w:pPr>
      <w:r w:rsidRPr="005B046B">
        <w:rPr>
          <w:rStyle w:val="CommentReference"/>
          <w:sz w:val="32"/>
          <w:szCs w:val="32"/>
        </w:rPr>
        <w:annotationRef/>
      </w:r>
      <w:r w:rsidRPr="005B046B">
        <w:rPr>
          <w:sz w:val="32"/>
          <w:szCs w:val="32"/>
        </w:rPr>
        <w:t xml:space="preserve"> Add abstract title</w:t>
      </w:r>
    </w:p>
  </w:comment>
  <w:comment w:id="1" w:author="Swetha Sandala" w:date="2022-05-24T11:54:00Z" w:initials="SS">
    <w:p w:rsidR="005B046B" w:rsidRDefault="005B046B">
      <w:pPr>
        <w:pStyle w:val="CommentText"/>
      </w:pPr>
      <w:r>
        <w:rPr>
          <w:rStyle w:val="CommentReference"/>
        </w:rPr>
        <w:annotationRef/>
      </w:r>
      <w:r>
        <w:t xml:space="preserve">Please add author </w:t>
      </w:r>
      <w:r w:rsidR="0055413F">
        <w:t>affiliation</w:t>
      </w:r>
    </w:p>
  </w:comment>
  <w:comment w:id="2" w:author="Swetha Sandala" w:date="2022-05-24T11:54:00Z" w:initials="SS">
    <w:p w:rsidR="0055413F" w:rsidRDefault="0055413F">
      <w:pPr>
        <w:pStyle w:val="CommentText"/>
      </w:pPr>
      <w:r>
        <w:rPr>
          <w:rStyle w:val="CommentReference"/>
        </w:rPr>
        <w:annotationRef/>
      </w:r>
      <w:r>
        <w:t>Rejected as already published. Please find the below link for your reference.</w:t>
      </w:r>
    </w:p>
    <w:p w:rsidR="0055413F" w:rsidRDefault="0055413F">
      <w:pPr>
        <w:pStyle w:val="CommentText"/>
      </w:pPr>
    </w:p>
    <w:p w:rsidR="0055413F" w:rsidRDefault="0055413F" w:rsidP="0055413F">
      <w:pPr>
        <w:pStyle w:val="CommentText"/>
        <w:numPr>
          <w:ilvl w:val="0"/>
          <w:numId w:val="1"/>
        </w:numPr>
      </w:pPr>
      <w:hyperlink r:id="rId1" w:history="1">
        <w:r w:rsidRPr="00F72794">
          <w:rPr>
            <w:rStyle w:val="Hyperlink"/>
          </w:rPr>
          <w:t>https://sejong.elsevierpure.com/en/publications/magnetic-sporopollenin-supported-polyaniline-developed-for-remova</w:t>
        </w:r>
      </w:hyperlink>
    </w:p>
    <w:p w:rsidR="0055413F" w:rsidRDefault="0055413F" w:rsidP="0055413F">
      <w:pPr>
        <w:pStyle w:val="CommentText"/>
        <w:numPr>
          <w:ilvl w:val="0"/>
          <w:numId w:val="1"/>
        </w:numPr>
      </w:pPr>
      <w:hyperlink r:id="rId2" w:history="1">
        <w:r w:rsidRPr="00F72794">
          <w:rPr>
            <w:rStyle w:val="Hyperlink"/>
          </w:rPr>
          <w:t>https://www.sciencedirect.com/science/article/abs/pii/S0045653522009547</w:t>
        </w:r>
      </w:hyperlink>
    </w:p>
    <w:p w:rsidR="0055413F" w:rsidRDefault="0055413F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F723A"/>
    <w:multiLevelType w:val="hybridMultilevel"/>
    <w:tmpl w:val="894CCA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25F"/>
    <w:rsid w:val="003D625F"/>
    <w:rsid w:val="0055413F"/>
    <w:rsid w:val="005B0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B04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04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04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04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046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04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46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5413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B04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04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04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04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046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04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46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541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sciencedirect.com/science/article/abs/pii/S0045653522009547" TargetMode="External"/><Relationship Id="rId1" Type="http://schemas.openxmlformats.org/officeDocument/2006/relationships/hyperlink" Target="https://sejong.elsevierpure.com/en/publications/magnetic-sporopollenin-supported-polyaniline-developed-for-remova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Swetha Sandala</cp:lastModifiedBy>
  <cp:revision>3</cp:revision>
  <dcterms:created xsi:type="dcterms:W3CDTF">2022-05-24T06:46:00Z</dcterms:created>
  <dcterms:modified xsi:type="dcterms:W3CDTF">2022-05-24T06:24:00Z</dcterms:modified>
</cp:coreProperties>
</file>