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33D" w:rsidRPr="00784AF8" w:rsidRDefault="007F033D" w:rsidP="00784AF8">
      <w:pPr>
        <w:autoSpaceDE w:val="0"/>
        <w:autoSpaceDN w:val="0"/>
        <w:adjustRightInd w:val="0"/>
        <w:spacing w:after="200" w:line="360" w:lineRule="auto"/>
        <w:rPr>
          <w:rFonts w:ascii="Times New Roman" w:eastAsia="ArialMT" w:hAnsi="Times New Roman" w:cs="Times New Roman"/>
          <w:b/>
          <w:bCs/>
          <w:sz w:val="32"/>
          <w:szCs w:val="24"/>
        </w:rPr>
      </w:pPr>
      <w:commentRangeStart w:id="0"/>
      <w:r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Breeding </w:t>
      </w:r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for</w:t>
      </w:r>
      <w:r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</w:t>
      </w:r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drought tolerant</w:t>
      </w:r>
      <w:r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</w:t>
      </w:r>
      <w:proofErr w:type="spellStart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Tef</w:t>
      </w:r>
      <w:proofErr w:type="spellEnd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[</w:t>
      </w:r>
      <w:proofErr w:type="spellStart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Eragrostis</w:t>
      </w:r>
      <w:proofErr w:type="spellEnd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</w:t>
      </w:r>
      <w:proofErr w:type="spellStart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tef</w:t>
      </w:r>
      <w:proofErr w:type="spellEnd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(</w:t>
      </w:r>
      <w:proofErr w:type="spellStart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Zucc</w:t>
      </w:r>
      <w:proofErr w:type="spellEnd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) Trotter]</w:t>
      </w:r>
      <w:r w:rsidR="00E47DBC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in Ethiopia</w:t>
      </w:r>
      <w:r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: </w:t>
      </w:r>
      <w:proofErr w:type="spellStart"/>
      <w:r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S</w:t>
      </w:r>
      <w:r w:rsidR="00BF18E5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>omaclones</w:t>
      </w:r>
      <w:proofErr w:type="spellEnd"/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technique and </w:t>
      </w:r>
      <w:r w:rsidR="00194BFF" w:rsidRPr="00784AF8">
        <w:rPr>
          <w:rFonts w:ascii="Times New Roman" w:eastAsia="ArialMT" w:hAnsi="Times New Roman" w:cs="Times New Roman"/>
          <w:b/>
          <w:bCs/>
          <w:i/>
          <w:sz w:val="32"/>
          <w:szCs w:val="24"/>
        </w:rPr>
        <w:t>in vitro</w:t>
      </w:r>
      <w:r w:rsidR="00194BFF" w:rsidRPr="00784AF8">
        <w:rPr>
          <w:rFonts w:ascii="Times New Roman" w:eastAsia="ArialMT" w:hAnsi="Times New Roman" w:cs="Times New Roman"/>
          <w:b/>
          <w:bCs/>
          <w:sz w:val="32"/>
          <w:szCs w:val="24"/>
        </w:rPr>
        <w:t xml:space="preserve"> evaluation of genotypes</w:t>
      </w:r>
      <w:commentRangeEnd w:id="0"/>
      <w:r w:rsidR="00C92DE9">
        <w:rPr>
          <w:rStyle w:val="CommentReference"/>
        </w:rPr>
        <w:commentReference w:id="0"/>
      </w:r>
    </w:p>
    <w:p w:rsidR="00147B28" w:rsidRPr="00147B28" w:rsidRDefault="00147B28" w:rsidP="00784AF8">
      <w:pPr>
        <w:autoSpaceDE w:val="0"/>
        <w:autoSpaceDN w:val="0"/>
        <w:adjustRightInd w:val="0"/>
        <w:spacing w:after="200" w:line="360" w:lineRule="auto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Brikti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Ferede</w:t>
      </w:r>
      <w:r w:rsidR="00784AF8">
        <w:rPr>
          <w:rFonts w:ascii="Times New Roman" w:eastAsia="ArialMT" w:hAnsi="Times New Roman" w:cs="Times New Roman"/>
          <w:sz w:val="24"/>
          <w:szCs w:val="24"/>
          <w:vertAlign w:val="superscript"/>
        </w:rPr>
        <w:t>1</w:t>
      </w:r>
      <w:proofErr w:type="gramStart"/>
      <w:r w:rsidR="00784AF8">
        <w:rPr>
          <w:rFonts w:ascii="Times New Roman" w:eastAsia="ArialMT" w:hAnsi="Times New Roman" w:cs="Times New Roman"/>
          <w:sz w:val="24"/>
          <w:szCs w:val="24"/>
          <w:vertAlign w:val="superscript"/>
        </w:rPr>
        <w:t>,2</w:t>
      </w:r>
      <w:proofErr w:type="gramEnd"/>
      <w:r w:rsidR="00784AF8">
        <w:rPr>
          <w:rFonts w:ascii="Times New Roman" w:eastAsia="ArialMT" w:hAnsi="Times New Roman" w:cs="Times New Roman"/>
          <w:sz w:val="24"/>
          <w:szCs w:val="24"/>
        </w:rPr>
        <w:t>*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Firew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Mekbib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2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Kebebew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Assefa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3</w:t>
      </w:r>
      <w:r w:rsidRPr="00147B28">
        <w:rPr>
          <w:rFonts w:ascii="Times New Roman" w:eastAsia="ArialMT" w:hAnsi="Times New Roman" w:cs="Times New Roman"/>
          <w:sz w:val="24"/>
          <w:szCs w:val="24"/>
        </w:rPr>
        <w:t>, Solomon Chanyalew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3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Eyasu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Abraha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4</w:t>
      </w:r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and </w:t>
      </w:r>
      <w:proofErr w:type="spellStart"/>
      <w:r w:rsidRPr="00147B28">
        <w:rPr>
          <w:rFonts w:ascii="Times New Roman" w:eastAsia="ArialMT" w:hAnsi="Times New Roman" w:cs="Times New Roman"/>
          <w:sz w:val="24"/>
          <w:szCs w:val="24"/>
        </w:rPr>
        <w:t>Zerihun</w:t>
      </w:r>
      <w:proofErr w:type="spellEnd"/>
      <w:r w:rsidRPr="00147B28">
        <w:rPr>
          <w:rFonts w:ascii="Times New Roman" w:eastAsia="ArialMT" w:hAnsi="Times New Roman" w:cs="Times New Roman"/>
          <w:sz w:val="24"/>
          <w:szCs w:val="24"/>
        </w:rPr>
        <w:t xml:space="preserve"> Tadele</w:t>
      </w:r>
      <w:r w:rsidRPr="00147B28">
        <w:rPr>
          <w:rFonts w:ascii="Times New Roman" w:eastAsia="ArialMT" w:hAnsi="Times New Roman" w:cs="Times New Roman"/>
          <w:sz w:val="24"/>
          <w:szCs w:val="24"/>
          <w:vertAlign w:val="superscript"/>
        </w:rPr>
        <w:t>5</w:t>
      </w:r>
    </w:p>
    <w:p w:rsidR="00147B28" w:rsidRPr="00784AF8" w:rsidRDefault="00147B28" w:rsidP="00784AF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Cs w:val="24"/>
        </w:rPr>
      </w:pPr>
      <w:r w:rsidRPr="00784AF8">
        <w:rPr>
          <w:rFonts w:ascii="Times New Roman" w:eastAsia="ArialMT" w:hAnsi="Times New Roman" w:cs="Times New Roman"/>
          <w:szCs w:val="24"/>
          <w:vertAlign w:val="superscript"/>
        </w:rPr>
        <w:t>1</w:t>
      </w:r>
      <w:r w:rsidR="00BF18E5" w:rsidRPr="00784AF8">
        <w:rPr>
          <w:rFonts w:ascii="Times New Roman" w:eastAsia="ArialMT" w:hAnsi="Times New Roman" w:cs="Times New Roman"/>
          <w:szCs w:val="24"/>
        </w:rPr>
        <w:t xml:space="preserve">Wolaita </w:t>
      </w:r>
      <w:proofErr w:type="spellStart"/>
      <w:r w:rsidR="00BF18E5" w:rsidRPr="00784AF8">
        <w:rPr>
          <w:rFonts w:ascii="Times New Roman" w:eastAsia="ArialMT" w:hAnsi="Times New Roman" w:cs="Times New Roman"/>
          <w:szCs w:val="24"/>
        </w:rPr>
        <w:t>Sodo</w:t>
      </w:r>
      <w:proofErr w:type="spellEnd"/>
      <w:r w:rsidRPr="00784AF8">
        <w:rPr>
          <w:rFonts w:ascii="Times New Roman" w:eastAsia="ArialMT" w:hAnsi="Times New Roman" w:cs="Times New Roman"/>
          <w:szCs w:val="24"/>
        </w:rPr>
        <w:t xml:space="preserve"> University, Ethiopia</w:t>
      </w:r>
      <w:bookmarkStart w:id="1" w:name="_GoBack"/>
      <w:bookmarkEnd w:id="1"/>
    </w:p>
    <w:p w:rsidR="00147B28" w:rsidRPr="00784AF8" w:rsidRDefault="00147B28" w:rsidP="00784AF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Cs w:val="24"/>
        </w:rPr>
      </w:pPr>
      <w:r w:rsidRPr="00784AF8">
        <w:rPr>
          <w:rFonts w:ascii="Times New Roman" w:eastAsia="ArialMT" w:hAnsi="Times New Roman" w:cs="Times New Roman"/>
          <w:szCs w:val="24"/>
          <w:vertAlign w:val="superscript"/>
        </w:rPr>
        <w:t>2</w:t>
      </w:r>
      <w:r w:rsidRPr="00784AF8">
        <w:rPr>
          <w:rFonts w:ascii="Times New Roman" w:eastAsia="ArialMT" w:hAnsi="Times New Roman" w:cs="Times New Roman"/>
          <w:szCs w:val="24"/>
        </w:rPr>
        <w:t>Haramaya University, Ethiopia</w:t>
      </w:r>
    </w:p>
    <w:p w:rsidR="00147B28" w:rsidRPr="00784AF8" w:rsidRDefault="00147B28" w:rsidP="00784AF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Cs w:val="24"/>
        </w:rPr>
      </w:pPr>
      <w:r w:rsidRPr="00784AF8">
        <w:rPr>
          <w:rFonts w:ascii="Times New Roman" w:eastAsia="ArialMT" w:hAnsi="Times New Roman" w:cs="Times New Roman"/>
          <w:szCs w:val="24"/>
          <w:vertAlign w:val="superscript"/>
        </w:rPr>
        <w:t>3</w:t>
      </w:r>
      <w:r w:rsidRPr="00784AF8">
        <w:rPr>
          <w:rFonts w:ascii="Times New Roman" w:eastAsia="ArialMT" w:hAnsi="Times New Roman" w:cs="Times New Roman"/>
          <w:szCs w:val="24"/>
        </w:rPr>
        <w:t>Ethiopian Institute of Agricultural Research, Ethiopia</w:t>
      </w:r>
    </w:p>
    <w:p w:rsidR="00147B28" w:rsidRPr="00784AF8" w:rsidRDefault="00147B28" w:rsidP="00784AF8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Cs w:val="24"/>
        </w:rPr>
      </w:pPr>
      <w:r w:rsidRPr="00784AF8">
        <w:rPr>
          <w:rFonts w:ascii="Times New Roman" w:eastAsia="ArialMT" w:hAnsi="Times New Roman" w:cs="Times New Roman"/>
          <w:szCs w:val="24"/>
          <w:vertAlign w:val="superscript"/>
        </w:rPr>
        <w:t>4</w:t>
      </w:r>
      <w:r w:rsidRPr="00784AF8">
        <w:rPr>
          <w:rFonts w:ascii="Times New Roman" w:eastAsia="ArialMT" w:hAnsi="Times New Roman" w:cs="Times New Roman"/>
          <w:szCs w:val="24"/>
        </w:rPr>
        <w:t>Ministry of Agriculture and Natural Resources, Ethiopia</w:t>
      </w:r>
    </w:p>
    <w:p w:rsidR="00E47DBC" w:rsidRPr="00784AF8" w:rsidRDefault="00147B28" w:rsidP="00784AF8">
      <w:pPr>
        <w:autoSpaceDE w:val="0"/>
        <w:autoSpaceDN w:val="0"/>
        <w:adjustRightInd w:val="0"/>
        <w:spacing w:after="200" w:line="360" w:lineRule="auto"/>
        <w:rPr>
          <w:rFonts w:ascii="Times New Roman" w:eastAsia="ArialMT" w:hAnsi="Times New Roman" w:cs="Times New Roman"/>
          <w:szCs w:val="24"/>
        </w:rPr>
      </w:pPr>
      <w:r w:rsidRPr="00784AF8">
        <w:rPr>
          <w:rFonts w:ascii="Times New Roman" w:eastAsia="ArialMT" w:hAnsi="Times New Roman" w:cs="Times New Roman"/>
          <w:szCs w:val="24"/>
          <w:vertAlign w:val="superscript"/>
        </w:rPr>
        <w:t>5</w:t>
      </w:r>
      <w:r w:rsidRPr="00784AF8">
        <w:rPr>
          <w:rFonts w:ascii="Times New Roman" w:eastAsia="ArialMT" w:hAnsi="Times New Roman" w:cs="Times New Roman"/>
          <w:szCs w:val="24"/>
        </w:rPr>
        <w:t>University of Bern, Switzerland</w:t>
      </w:r>
    </w:p>
    <w:p w:rsidR="00147B28" w:rsidRPr="00B65A44" w:rsidRDefault="00147B28" w:rsidP="00784AF8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B65A44">
        <w:rPr>
          <w:rFonts w:ascii="Times New Roman" w:eastAsia="ArialMT" w:hAnsi="Times New Roman" w:cs="Times New Roman"/>
          <w:b/>
          <w:bCs/>
          <w:sz w:val="24"/>
          <w:szCs w:val="24"/>
        </w:rPr>
        <w:t>Abstract</w:t>
      </w:r>
    </w:p>
    <w:p w:rsidR="00383906" w:rsidRPr="00784AF8" w:rsidRDefault="007F033D" w:rsidP="00784AF8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eastAsia="ArialMT" w:hAnsi="Times New Roman" w:cs="Times New Roman"/>
          <w:sz w:val="20"/>
          <w:szCs w:val="24"/>
        </w:rPr>
      </w:pP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Breeding for moisture stress tolerance by conventional methods is not satisfactory in view of current demand to increase 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>tef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productivity. </w:t>
      </w:r>
      <w:r w:rsidR="00194BFF" w:rsidRPr="00784AF8">
        <w:rPr>
          <w:rFonts w:ascii="Times New Roman" w:eastAsia="ArialMT" w:hAnsi="Times New Roman" w:cs="Times New Roman"/>
          <w:sz w:val="20"/>
          <w:szCs w:val="24"/>
        </w:rPr>
        <w:t xml:space="preserve">The present study was conducted to evaluate tef genotypes for drought tolerance under </w:t>
      </w:r>
      <w:r w:rsidR="00194BFF" w:rsidRPr="00784AF8">
        <w:rPr>
          <w:rFonts w:ascii="Times New Roman" w:eastAsia="ArialMT" w:hAnsi="Times New Roman" w:cs="Times New Roman"/>
          <w:i/>
          <w:sz w:val="20"/>
          <w:szCs w:val="24"/>
        </w:rPr>
        <w:t>in vitro</w:t>
      </w:r>
      <w:r w:rsidR="00194BFF" w:rsidRPr="00784AF8">
        <w:rPr>
          <w:rFonts w:ascii="Times New Roman" w:eastAsia="ArialMT" w:hAnsi="Times New Roman" w:cs="Times New Roman"/>
          <w:sz w:val="20"/>
          <w:szCs w:val="24"/>
        </w:rPr>
        <w:t xml:space="preserve"> condition and greenhouse condition</w:t>
      </w:r>
      <w:r w:rsidR="00E47DBC" w:rsidRPr="00784AF8">
        <w:rPr>
          <w:rFonts w:ascii="Times New Roman" w:eastAsia="ArialMT" w:hAnsi="Times New Roman" w:cs="Times New Roman"/>
          <w:sz w:val="20"/>
          <w:szCs w:val="24"/>
        </w:rPr>
        <w:t xml:space="preserve"> and to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evaluate the performance of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tef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(R1 generation) and their respective parental genotypes for drought tolerance. The materials used in</w:t>
      </w:r>
      <w:r w:rsidR="00E47DBC" w:rsidRPr="00784AF8">
        <w:rPr>
          <w:rFonts w:ascii="Times New Roman" w:eastAsia="ArialMT" w:hAnsi="Times New Roman" w:cs="Times New Roman"/>
          <w:sz w:val="20"/>
          <w:szCs w:val="24"/>
        </w:rPr>
        <w:t xml:space="preserve"> the </w:t>
      </w:r>
      <w:proofErr w:type="spellStart"/>
      <w:r w:rsidR="00147B28" w:rsidRPr="00784AF8">
        <w:rPr>
          <w:rFonts w:ascii="Times New Roman" w:eastAsia="ArialMT" w:hAnsi="Times New Roman" w:cs="Times New Roman"/>
          <w:sz w:val="20"/>
          <w:szCs w:val="24"/>
        </w:rPr>
        <w:t>somaclonal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experiment were obtained from the R0 generation of </w:t>
      </w:r>
      <w:r w:rsidR="00BF18E5" w:rsidRPr="00784AF8">
        <w:rPr>
          <w:rFonts w:ascii="Times New Roman" w:eastAsia="ArialMT" w:hAnsi="Times New Roman" w:cs="Times New Roman"/>
          <w:sz w:val="20"/>
          <w:szCs w:val="24"/>
        </w:rPr>
        <w:t>the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</w:t>
      </w:r>
      <w:r w:rsidRPr="00784AF8">
        <w:rPr>
          <w:rFonts w:ascii="Times New Roman" w:eastAsia="ArialMT" w:hAnsi="Times New Roman" w:cs="Times New Roman"/>
          <w:i/>
          <w:iCs/>
          <w:sz w:val="20"/>
          <w:szCs w:val="24"/>
        </w:rPr>
        <w:t xml:space="preserve">in vitro 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culture experiment. Twelve seed derived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 (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Melko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0,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Melko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0.5,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Melko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1,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Melko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1.5,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Gemechis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0,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Gemechis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0.5,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Gemechis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1,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Gemechis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1.5, Pop12S20, Pop12S20.5, Pop12S21 and Pop12S21.5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>)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and their respective parental genotypes (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Melko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Gemechis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and Pop12S2) were used under two set of experiments (i.e., under moisture stress and non-stress conditions) in pots under green house. The 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greenhouse and </w:t>
      </w:r>
      <w:r w:rsidR="00147B28" w:rsidRPr="00784AF8">
        <w:rPr>
          <w:rFonts w:ascii="Times New Roman" w:eastAsia="ArialMT" w:hAnsi="Times New Roman" w:cs="Times New Roman"/>
          <w:i/>
          <w:sz w:val="20"/>
          <w:szCs w:val="24"/>
        </w:rPr>
        <w:t>in vitro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 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experiments were laid out in 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>CRD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with three replications. 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Three </w:t>
      </w:r>
      <w:proofErr w:type="spellStart"/>
      <w:r w:rsidR="00147B28" w:rsidRPr="00784AF8">
        <w:rPr>
          <w:rFonts w:ascii="Times New Roman" w:eastAsia="ArialMT" w:hAnsi="Times New Roman" w:cs="Times New Roman"/>
          <w:sz w:val="20"/>
          <w:szCs w:val="24"/>
        </w:rPr>
        <w:t>tef</w:t>
      </w:r>
      <w:proofErr w:type="spellEnd"/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 genotypes including </w:t>
      </w:r>
      <w:proofErr w:type="spellStart"/>
      <w:r w:rsidR="00147B28" w:rsidRPr="00784AF8">
        <w:rPr>
          <w:rFonts w:ascii="Times New Roman" w:eastAsia="ArialMT" w:hAnsi="Times New Roman" w:cs="Times New Roman"/>
          <w:sz w:val="20"/>
          <w:szCs w:val="24"/>
        </w:rPr>
        <w:t>Melko</w:t>
      </w:r>
      <w:proofErr w:type="spellEnd"/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 (drought tolerant), </w:t>
      </w:r>
      <w:proofErr w:type="spellStart"/>
      <w:r w:rsidR="00147B28" w:rsidRPr="00784AF8">
        <w:rPr>
          <w:rFonts w:ascii="Times New Roman" w:eastAsia="ArialMT" w:hAnsi="Times New Roman" w:cs="Times New Roman"/>
          <w:sz w:val="20"/>
          <w:szCs w:val="24"/>
        </w:rPr>
        <w:t>Gemechis</w:t>
      </w:r>
      <w:proofErr w:type="spellEnd"/>
      <w:r w:rsidR="00147B28" w:rsidRPr="00784AF8">
        <w:rPr>
          <w:rFonts w:ascii="Times New Roman" w:eastAsia="ArialMT" w:hAnsi="Times New Roman" w:cs="Times New Roman"/>
          <w:sz w:val="20"/>
          <w:szCs w:val="24"/>
        </w:rPr>
        <w:t xml:space="preserve"> (moderately tolerant) and Pop12S2 (susceptible) and five polyethylene glycol levels (</w:t>
      </w:r>
      <w:r w:rsidR="00784AF8">
        <w:rPr>
          <w:rFonts w:ascii="Times New Roman" w:eastAsia="ArialMT" w:hAnsi="Times New Roman" w:cs="Times New Roman"/>
          <w:sz w:val="20"/>
          <w:szCs w:val="24"/>
        </w:rPr>
        <w:t>0</w:t>
      </w:r>
      <w:proofErr w:type="gramStart"/>
      <w:r w:rsidR="00784AF8">
        <w:rPr>
          <w:rFonts w:ascii="Times New Roman" w:eastAsia="ArialMT" w:hAnsi="Times New Roman" w:cs="Times New Roman"/>
          <w:sz w:val="20"/>
          <w:szCs w:val="24"/>
        </w:rPr>
        <w:t>,0.5,1,</w:t>
      </w:r>
      <w:r w:rsidR="000A5FB7" w:rsidRPr="00784AF8">
        <w:rPr>
          <w:rFonts w:ascii="Times New Roman" w:eastAsia="ArialMT" w:hAnsi="Times New Roman" w:cs="Times New Roman"/>
          <w:sz w:val="20"/>
          <w:szCs w:val="24"/>
        </w:rPr>
        <w:t>1.5</w:t>
      </w:r>
      <w:proofErr w:type="gramEnd"/>
      <w:r w:rsidR="000A5FB7" w:rsidRPr="00784AF8">
        <w:rPr>
          <w:rFonts w:ascii="Times New Roman" w:eastAsia="ArialMT" w:hAnsi="Times New Roman" w:cs="Times New Roman"/>
          <w:sz w:val="20"/>
          <w:szCs w:val="24"/>
        </w:rPr>
        <w:t xml:space="preserve"> and 2%) were used</w:t>
      </w:r>
      <w:r w:rsidR="00147B28" w:rsidRPr="00784AF8">
        <w:rPr>
          <w:rFonts w:ascii="Times New Roman" w:eastAsia="ArialMT" w:hAnsi="Times New Roman" w:cs="Times New Roman"/>
          <w:sz w:val="20"/>
          <w:szCs w:val="24"/>
        </w:rPr>
        <w:t>. ANOVA results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revealed that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(R1 generation) and their parental genotypes showed highly significant (P ≤ 0.01) difference in all the measured traits under both moisture regimes. Comparisons were made between the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and their parents under moisture stress and non-stress conditions for the measured traits. Under moisture stress condition superiority of the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was observed except for number of spikelet/panicle and total number of tiller/plant. On the other hand, under non-stress condition better performance was observed from parental genotypes for number of spikelet/panicle, panicle weight, panicle seed weight, plant weight, plant seed weight and grain yield. The results showed that all the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and their parental genotypes were negatively affected by moisture stress for all studied parameters. However,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were less affected by moisture stress as compared to the parental genotypes. Hence, </w:t>
      </w:r>
      <w:r w:rsidRPr="00784AF8">
        <w:rPr>
          <w:rFonts w:ascii="Times New Roman" w:eastAsia="ArialMT" w:hAnsi="Times New Roman" w:cs="Times New Roman"/>
          <w:i/>
          <w:iCs/>
          <w:sz w:val="20"/>
          <w:szCs w:val="24"/>
        </w:rPr>
        <w:t xml:space="preserve">in vitro 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culture induced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somaclonal</w:t>
      </w:r>
      <w:proofErr w:type="spellEnd"/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variation can effectively be used for selection and improvement of drought tolerant tef genotypes.</w:t>
      </w:r>
    </w:p>
    <w:p w:rsidR="00B65A44" w:rsidRDefault="00B65A44" w:rsidP="00784AF8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eastAsia="ArialMT" w:hAnsi="Times New Roman" w:cs="Times New Roman"/>
          <w:sz w:val="20"/>
          <w:szCs w:val="24"/>
        </w:rPr>
      </w:pPr>
      <w:r w:rsidRPr="00784AF8">
        <w:rPr>
          <w:rFonts w:ascii="Times New Roman" w:eastAsia="ArialMT" w:hAnsi="Times New Roman" w:cs="Times New Roman"/>
          <w:b/>
          <w:bCs/>
          <w:sz w:val="20"/>
          <w:szCs w:val="24"/>
        </w:rPr>
        <w:t>Keywords</w:t>
      </w:r>
      <w:r w:rsidR="00784AF8">
        <w:rPr>
          <w:rFonts w:ascii="Times New Roman" w:eastAsia="ArialMT" w:hAnsi="Times New Roman" w:cs="Times New Roman"/>
          <w:sz w:val="20"/>
          <w:szCs w:val="24"/>
        </w:rPr>
        <w:t>: Generation,</w:t>
      </w:r>
      <w:r w:rsidRPr="00784AF8">
        <w:rPr>
          <w:rFonts w:ascii="Times New Roman" w:eastAsia="ArialMT" w:hAnsi="Times New Roman" w:cs="Times New Roman"/>
          <w:i/>
          <w:sz w:val="20"/>
          <w:szCs w:val="24"/>
        </w:rPr>
        <w:t xml:space="preserve"> In vitro </w:t>
      </w:r>
      <w:r w:rsidR="00784AF8">
        <w:rPr>
          <w:rFonts w:ascii="Times New Roman" w:eastAsia="ArialMT" w:hAnsi="Times New Roman" w:cs="Times New Roman"/>
          <w:sz w:val="20"/>
          <w:szCs w:val="24"/>
        </w:rPr>
        <w:t>culture, Moisture stress,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Parental </w:t>
      </w:r>
      <w:r w:rsidR="00784AF8">
        <w:rPr>
          <w:rFonts w:ascii="Times New Roman" w:eastAsia="ArialMT" w:hAnsi="Times New Roman" w:cs="Times New Roman"/>
          <w:sz w:val="20"/>
          <w:szCs w:val="24"/>
        </w:rPr>
        <w:t>genotypes,</w:t>
      </w:r>
      <w:r w:rsidRPr="00784AF8">
        <w:rPr>
          <w:rFonts w:ascii="Times New Roman" w:eastAsia="ArialMT" w:hAnsi="Times New Roman" w:cs="Times New Roman"/>
          <w:sz w:val="20"/>
          <w:szCs w:val="24"/>
        </w:rPr>
        <w:t xml:space="preserve"> </w:t>
      </w:r>
      <w:proofErr w:type="spellStart"/>
      <w:r w:rsidRPr="00784AF8">
        <w:rPr>
          <w:rFonts w:ascii="Times New Roman" w:eastAsia="ArialMT" w:hAnsi="Times New Roman" w:cs="Times New Roman"/>
          <w:sz w:val="20"/>
          <w:szCs w:val="24"/>
        </w:rPr>
        <w:t>Somaclones</w:t>
      </w:r>
      <w:proofErr w:type="spellEnd"/>
      <w:r w:rsidR="00784AF8">
        <w:rPr>
          <w:rFonts w:ascii="Times New Roman" w:eastAsia="ArialMT" w:hAnsi="Times New Roman" w:cs="Times New Roman"/>
          <w:sz w:val="20"/>
          <w:szCs w:val="24"/>
        </w:rPr>
        <w:t>.</w:t>
      </w:r>
    </w:p>
    <w:p w:rsidR="00784AF8" w:rsidRPr="00784AF8" w:rsidRDefault="00784AF8" w:rsidP="00784AF8">
      <w:pPr>
        <w:autoSpaceDE w:val="0"/>
        <w:autoSpaceDN w:val="0"/>
        <w:adjustRightInd w:val="0"/>
        <w:spacing w:after="200" w:line="360" w:lineRule="auto"/>
        <w:rPr>
          <w:rFonts w:ascii="Times New Roman" w:eastAsia="ArialMT" w:hAnsi="Times New Roman" w:cs="Times New Roman"/>
          <w:b/>
          <w:sz w:val="24"/>
          <w:szCs w:val="24"/>
        </w:rPr>
      </w:pPr>
      <w:commentRangeStart w:id="2"/>
      <w:r w:rsidRPr="00784AF8">
        <w:rPr>
          <w:rFonts w:ascii="Times New Roman" w:eastAsia="ArialMT" w:hAnsi="Times New Roman" w:cs="Times New Roman"/>
          <w:b/>
          <w:sz w:val="24"/>
          <w:szCs w:val="24"/>
        </w:rPr>
        <w:lastRenderedPageBreak/>
        <w:t>Biography</w:t>
      </w:r>
      <w:commentRangeEnd w:id="2"/>
      <w:r>
        <w:rPr>
          <w:rStyle w:val="CommentReference"/>
        </w:rPr>
        <w:commentReference w:id="2"/>
      </w:r>
    </w:p>
    <w:sectPr w:rsidR="00784AF8" w:rsidRPr="00784AF8" w:rsidSect="004F0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1T15:36:00Z" w:initials="SS">
    <w:p w:rsidR="00C92DE9" w:rsidRDefault="00C92DE9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C92DE9" w:rsidRDefault="00C92DE9">
      <w:pPr>
        <w:pStyle w:val="CommentText"/>
      </w:pPr>
    </w:p>
    <w:p w:rsidR="00C92DE9" w:rsidRDefault="00C92DE9" w:rsidP="00C92DE9">
      <w:pPr>
        <w:pStyle w:val="CommentText"/>
        <w:numPr>
          <w:ilvl w:val="0"/>
          <w:numId w:val="1"/>
        </w:numPr>
      </w:pPr>
      <w:hyperlink r:id="rId1" w:history="1">
        <w:r w:rsidRPr="00FC4A8E">
          <w:rPr>
            <w:rStyle w:val="Hyperlink"/>
          </w:rPr>
          <w:t>https://boris.unibe.ch/119242/</w:t>
        </w:r>
      </w:hyperlink>
    </w:p>
    <w:p w:rsidR="00C92DE9" w:rsidRDefault="00C92DE9" w:rsidP="00C92DE9">
      <w:pPr>
        <w:pStyle w:val="CommentText"/>
        <w:numPr>
          <w:ilvl w:val="0"/>
          <w:numId w:val="1"/>
        </w:numPr>
      </w:pPr>
      <w:hyperlink r:id="rId2" w:history="1">
        <w:r w:rsidRPr="00FC4A8E">
          <w:rPr>
            <w:rStyle w:val="Hyperlink"/>
          </w:rPr>
          <w:t>https://www.omicsonline.org/open-access-pdfs/evaluation-of-tef-eragrostis-tef-zucc-trotter-somaclones-for-drought-tolerance-2329-8863-1000385.pdf</w:t>
        </w:r>
      </w:hyperlink>
    </w:p>
    <w:p w:rsidR="00C92DE9" w:rsidRDefault="00C92DE9" w:rsidP="00C92DE9">
      <w:pPr>
        <w:pStyle w:val="CommentText"/>
        <w:numPr>
          <w:ilvl w:val="0"/>
          <w:numId w:val="1"/>
        </w:numPr>
      </w:pPr>
      <w:hyperlink r:id="rId3" w:history="1">
        <w:r w:rsidRPr="00FC4A8E">
          <w:rPr>
            <w:rStyle w:val="Hyperlink"/>
          </w:rPr>
          <w:t>https://www.readcube.com/articles/10.4172%2F2329-8863.1000385</w:t>
        </w:r>
      </w:hyperlink>
    </w:p>
    <w:p w:rsidR="00C92DE9" w:rsidRDefault="00C92DE9" w:rsidP="00C92DE9">
      <w:pPr>
        <w:pStyle w:val="CommentText"/>
      </w:pPr>
    </w:p>
  </w:comment>
  <w:comment w:id="2" w:author="Swetha Sandala" w:date="2022-07-01T15:33:00Z" w:initials="SS">
    <w:p w:rsidR="00784AF8" w:rsidRDefault="00784AF8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927FA"/>
    <w:multiLevelType w:val="hybridMultilevel"/>
    <w:tmpl w:val="B242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33D"/>
    <w:rsid w:val="000A5FB7"/>
    <w:rsid w:val="00147B28"/>
    <w:rsid w:val="00194BFF"/>
    <w:rsid w:val="003317D2"/>
    <w:rsid w:val="004F0BF5"/>
    <w:rsid w:val="00784AF8"/>
    <w:rsid w:val="007F033D"/>
    <w:rsid w:val="00B65A44"/>
    <w:rsid w:val="00B72F27"/>
    <w:rsid w:val="00BF18E5"/>
    <w:rsid w:val="00C92DE9"/>
    <w:rsid w:val="00E042B6"/>
    <w:rsid w:val="00E47DBC"/>
    <w:rsid w:val="00EC524A"/>
    <w:rsid w:val="00F0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84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A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2DE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84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A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2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adcube.com/articles/10.4172%2F2329-8863.1000385" TargetMode="External"/><Relationship Id="rId2" Type="http://schemas.openxmlformats.org/officeDocument/2006/relationships/hyperlink" Target="https://www.omicsonline.org/open-access-pdfs/evaluation-of-tef-eragrostis-tef-zucc-trotter-somaclones-for-drought-tolerance-2329-8863-1000385.pdf" TargetMode="External"/><Relationship Id="rId1" Type="http://schemas.openxmlformats.org/officeDocument/2006/relationships/hyperlink" Target="https://boris.unibe.ch/119242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Free State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Tesfay Weldeslassie</dc:creator>
  <cp:lastModifiedBy>Swetha Sandala</cp:lastModifiedBy>
  <cp:revision>4</cp:revision>
  <dcterms:created xsi:type="dcterms:W3CDTF">2022-05-26T11:35:00Z</dcterms:created>
  <dcterms:modified xsi:type="dcterms:W3CDTF">2022-07-01T10:06:00Z</dcterms:modified>
</cp:coreProperties>
</file>