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44B82">
      <w:pPr>
        <w:rPr>
          <w:rFonts w:ascii="Times New Roman" w:hAnsi="Times New Roman" w:cs="Times New Roman"/>
          <w:b/>
          <w:sz w:val="32"/>
        </w:rPr>
      </w:pPr>
      <w:r w:rsidRPr="00744B82">
        <w:rPr>
          <w:rFonts w:ascii="Times New Roman" w:hAnsi="Times New Roman" w:cs="Times New Roman"/>
          <w:b/>
          <w:sz w:val="32"/>
        </w:rPr>
        <w:t>Improving crop productivity, resilience and sustainability through conservation agriculture systems</w:t>
      </w:r>
    </w:p>
    <w:p w:rsidR="00744B82" w:rsidRDefault="00744B82">
      <w:pPr>
        <w:rPr>
          <w:rFonts w:ascii="Times New Roman" w:hAnsi="Times New Roman" w:cs="Times New Roman"/>
          <w:sz w:val="24"/>
        </w:rPr>
      </w:pPr>
      <w:proofErr w:type="spellStart"/>
      <w:r w:rsidRPr="00744B82">
        <w:rPr>
          <w:rFonts w:ascii="Times New Roman" w:hAnsi="Times New Roman" w:cs="Times New Roman"/>
          <w:sz w:val="24"/>
        </w:rPr>
        <w:t>Tesfay</w:t>
      </w:r>
      <w:proofErr w:type="spellEnd"/>
      <w:r w:rsidRPr="00744B82">
        <w:rPr>
          <w:rFonts w:ascii="Times New Roman" w:hAnsi="Times New Roman" w:cs="Times New Roman"/>
          <w:sz w:val="24"/>
        </w:rPr>
        <w:t xml:space="preserve"> Araya</w:t>
      </w:r>
      <w:r w:rsidRPr="00744B82">
        <w:rPr>
          <w:rFonts w:ascii="Times New Roman" w:hAnsi="Times New Roman" w:cs="Times New Roman"/>
          <w:sz w:val="24"/>
          <w:vertAlign w:val="superscript"/>
        </w:rPr>
        <w:t>1</w:t>
      </w:r>
      <w:r w:rsidR="000D47F7">
        <w:rPr>
          <w:rFonts w:ascii="Times New Roman" w:hAnsi="Times New Roman" w:cs="Times New Roman"/>
          <w:sz w:val="24"/>
        </w:rPr>
        <w:t>*</w:t>
      </w:r>
      <w:r w:rsidRPr="00744B82">
        <w:rPr>
          <w:rFonts w:ascii="Times New Roman" w:hAnsi="Times New Roman" w:cs="Times New Roman"/>
          <w:sz w:val="24"/>
        </w:rPr>
        <w:t>, GI Nebo</w:t>
      </w:r>
      <w:r w:rsidRPr="00744B82">
        <w:rPr>
          <w:rFonts w:ascii="Times New Roman" w:hAnsi="Times New Roman" w:cs="Times New Roman"/>
          <w:sz w:val="24"/>
          <w:vertAlign w:val="superscript"/>
        </w:rPr>
        <w:t>2</w:t>
      </w:r>
      <w:r w:rsidRPr="00744B82">
        <w:rPr>
          <w:rFonts w:ascii="Times New Roman" w:hAnsi="Times New Roman" w:cs="Times New Roman"/>
          <w:sz w:val="24"/>
        </w:rPr>
        <w:t>, A Manyevere</w:t>
      </w:r>
      <w:r w:rsidRPr="00744B82">
        <w:rPr>
          <w:rFonts w:ascii="Times New Roman" w:hAnsi="Times New Roman" w:cs="Times New Roman"/>
          <w:sz w:val="24"/>
          <w:vertAlign w:val="superscript"/>
        </w:rPr>
        <w:t>2</w:t>
      </w:r>
      <w:r w:rsidRPr="00744B82">
        <w:rPr>
          <w:rFonts w:ascii="Times New Roman" w:hAnsi="Times New Roman" w:cs="Times New Roman"/>
          <w:sz w:val="24"/>
        </w:rPr>
        <w:t xml:space="preserve"> and JJ van Tol</w:t>
      </w:r>
      <w:r w:rsidRPr="00744B82">
        <w:rPr>
          <w:rFonts w:ascii="Times New Roman" w:hAnsi="Times New Roman" w:cs="Times New Roman"/>
          <w:sz w:val="24"/>
          <w:vertAlign w:val="superscript"/>
        </w:rPr>
        <w:t>1</w:t>
      </w:r>
    </w:p>
    <w:p w:rsidR="00744B82" w:rsidRPr="00744B82" w:rsidRDefault="00744B82" w:rsidP="00744B82">
      <w:pPr>
        <w:spacing w:after="0"/>
        <w:rPr>
          <w:rFonts w:ascii="Times New Roman" w:hAnsi="Times New Roman" w:cs="Times New Roman"/>
        </w:rPr>
      </w:pPr>
      <w:r w:rsidRPr="00744B82">
        <w:rPr>
          <w:rFonts w:ascii="Times New Roman" w:hAnsi="Times New Roman" w:cs="Times New Roman"/>
          <w:vertAlign w:val="superscript"/>
        </w:rPr>
        <w:t>1</w:t>
      </w:r>
      <w:r w:rsidRPr="00744B82">
        <w:rPr>
          <w:rFonts w:ascii="Times New Roman" w:hAnsi="Times New Roman" w:cs="Times New Roman"/>
        </w:rPr>
        <w:t>University of the Free State, South Africa</w:t>
      </w:r>
    </w:p>
    <w:p w:rsidR="00744B82" w:rsidRDefault="00744B82">
      <w:pPr>
        <w:rPr>
          <w:rFonts w:ascii="Times New Roman" w:hAnsi="Times New Roman" w:cs="Times New Roman"/>
        </w:rPr>
      </w:pPr>
      <w:r w:rsidRPr="00744B82">
        <w:rPr>
          <w:rFonts w:ascii="Times New Roman" w:hAnsi="Times New Roman" w:cs="Times New Roman"/>
          <w:vertAlign w:val="superscript"/>
        </w:rPr>
        <w:t>2</w:t>
      </w:r>
      <w:r w:rsidRPr="00744B82">
        <w:rPr>
          <w:rFonts w:ascii="Times New Roman" w:hAnsi="Times New Roman" w:cs="Times New Roman"/>
        </w:rPr>
        <w:t xml:space="preserve">University of Fort Hare, </w:t>
      </w:r>
      <w:r w:rsidRPr="00744B82">
        <w:rPr>
          <w:rFonts w:ascii="Times New Roman" w:hAnsi="Times New Roman" w:cs="Times New Roman"/>
        </w:rPr>
        <w:t>South Africa</w:t>
      </w:r>
    </w:p>
    <w:p w:rsidR="00744B82" w:rsidRPr="00744B82" w:rsidRDefault="00744B82" w:rsidP="00744B82">
      <w:pPr>
        <w:jc w:val="center"/>
        <w:rPr>
          <w:rFonts w:ascii="Times New Roman" w:hAnsi="Times New Roman" w:cs="Times New Roman"/>
          <w:b/>
          <w:sz w:val="24"/>
        </w:rPr>
      </w:pPr>
      <w:r w:rsidRPr="00744B82">
        <w:rPr>
          <w:rFonts w:ascii="Times New Roman" w:hAnsi="Times New Roman" w:cs="Times New Roman"/>
          <w:b/>
          <w:sz w:val="24"/>
        </w:rPr>
        <w:t>Abstract</w:t>
      </w:r>
    </w:p>
    <w:p w:rsidR="00744B82" w:rsidRPr="00744B82" w:rsidRDefault="00744B82" w:rsidP="00744B82">
      <w:pPr>
        <w:jc w:val="both"/>
        <w:rPr>
          <w:rFonts w:ascii="Times New Roman" w:hAnsi="Times New Roman" w:cs="Times New Roman"/>
          <w:sz w:val="20"/>
        </w:rPr>
      </w:pPr>
      <w:r w:rsidRPr="00744B82">
        <w:rPr>
          <w:rFonts w:ascii="Times New Roman" w:hAnsi="Times New Roman" w:cs="Times New Roman"/>
          <w:sz w:val="20"/>
        </w:rPr>
        <w:t xml:space="preserve">Conservation Agriculture </w:t>
      </w:r>
      <w:r w:rsidRPr="00744B82">
        <w:rPr>
          <w:rFonts w:ascii="Times New Roman" w:hAnsi="Times New Roman" w:cs="Times New Roman"/>
          <w:sz w:val="20"/>
        </w:rPr>
        <w:t xml:space="preserve">(CA) systems represent a set of three soil management principles that include minimal soil disturbance, permanent soil cover and crop rotations. Long-term CA based systems experiments are rare in sub-Saharan Africa. Therefore, long-term experiments in two </w:t>
      </w:r>
      <w:proofErr w:type="spellStart"/>
      <w:r w:rsidRPr="00744B82">
        <w:rPr>
          <w:rFonts w:ascii="Times New Roman" w:hAnsi="Times New Roman" w:cs="Times New Roman"/>
          <w:sz w:val="20"/>
        </w:rPr>
        <w:t>ecotopes</w:t>
      </w:r>
      <w:proofErr w:type="spellEnd"/>
      <w:r w:rsidRPr="00744B82">
        <w:rPr>
          <w:rFonts w:ascii="Times New Roman" w:hAnsi="Times New Roman" w:cs="Times New Roman"/>
          <w:sz w:val="20"/>
        </w:rPr>
        <w:t xml:space="preserve"> in Alice and </w:t>
      </w:r>
      <w:proofErr w:type="spellStart"/>
      <w:r w:rsidRPr="00744B82">
        <w:rPr>
          <w:rFonts w:ascii="Times New Roman" w:hAnsi="Times New Roman" w:cs="Times New Roman"/>
          <w:sz w:val="20"/>
        </w:rPr>
        <w:t>Phan</w:t>
      </w:r>
      <w:r>
        <w:rPr>
          <w:rFonts w:ascii="Times New Roman" w:hAnsi="Times New Roman" w:cs="Times New Roman"/>
          <w:sz w:val="20"/>
        </w:rPr>
        <w:t>dulwazi</w:t>
      </w:r>
      <w:proofErr w:type="spellEnd"/>
      <w:r>
        <w:rPr>
          <w:rFonts w:ascii="Times New Roman" w:hAnsi="Times New Roman" w:cs="Times New Roman"/>
          <w:sz w:val="20"/>
        </w:rPr>
        <w:t xml:space="preserve"> </w:t>
      </w:r>
      <w:proofErr w:type="spellStart"/>
      <w:r>
        <w:rPr>
          <w:rFonts w:ascii="Times New Roman" w:hAnsi="Times New Roman" w:cs="Times New Roman"/>
          <w:sz w:val="20"/>
        </w:rPr>
        <w:t>Jozini</w:t>
      </w:r>
      <w:proofErr w:type="spellEnd"/>
      <w:r>
        <w:rPr>
          <w:rFonts w:ascii="Times New Roman" w:hAnsi="Times New Roman" w:cs="Times New Roman"/>
          <w:sz w:val="20"/>
        </w:rPr>
        <w:t xml:space="preserve"> </w:t>
      </w:r>
      <w:proofErr w:type="spellStart"/>
      <w:r>
        <w:rPr>
          <w:rFonts w:ascii="Times New Roman" w:hAnsi="Times New Roman" w:cs="Times New Roman"/>
          <w:sz w:val="20"/>
        </w:rPr>
        <w:t>ecotopes</w:t>
      </w:r>
      <w:proofErr w:type="spellEnd"/>
      <w:r>
        <w:rPr>
          <w:rFonts w:ascii="Times New Roman" w:hAnsi="Times New Roman" w:cs="Times New Roman"/>
          <w:sz w:val="20"/>
        </w:rPr>
        <w:t xml:space="preserve"> (2012-</w:t>
      </w:r>
      <w:r w:rsidRPr="00744B82">
        <w:rPr>
          <w:rFonts w:ascii="Times New Roman" w:hAnsi="Times New Roman" w:cs="Times New Roman"/>
          <w:sz w:val="20"/>
        </w:rPr>
        <w:t xml:space="preserve">2021) in Eastern Cape in South Africa were conducted to assess the impacts of CA based systems on soil water storage, </w:t>
      </w:r>
      <w:r w:rsidRPr="00744B82">
        <w:rPr>
          <w:rFonts w:ascii="Times New Roman" w:hAnsi="Times New Roman" w:cs="Times New Roman"/>
          <w:sz w:val="20"/>
        </w:rPr>
        <w:t xml:space="preserve">Soil Organic Carbon </w:t>
      </w:r>
      <w:r w:rsidRPr="00744B82">
        <w:rPr>
          <w:rFonts w:ascii="Times New Roman" w:hAnsi="Times New Roman" w:cs="Times New Roman"/>
          <w:sz w:val="20"/>
        </w:rPr>
        <w:t xml:space="preserve">(SOC) and soil productivity. The experiment was established in summer 2012 arranged in a split-split plot design. The main plot was allocated to tillage at two levels, </w:t>
      </w:r>
      <w:r w:rsidRPr="00744B82">
        <w:rPr>
          <w:rFonts w:ascii="Times New Roman" w:hAnsi="Times New Roman" w:cs="Times New Roman"/>
          <w:sz w:val="20"/>
        </w:rPr>
        <w:t xml:space="preserve">No-Till </w:t>
      </w:r>
      <w:r w:rsidRPr="00744B82">
        <w:rPr>
          <w:rFonts w:ascii="Times New Roman" w:hAnsi="Times New Roman" w:cs="Times New Roman"/>
          <w:sz w:val="20"/>
        </w:rPr>
        <w:t xml:space="preserve">(NT) and </w:t>
      </w:r>
      <w:r w:rsidRPr="00744B82">
        <w:rPr>
          <w:rFonts w:ascii="Times New Roman" w:hAnsi="Times New Roman" w:cs="Times New Roman"/>
          <w:sz w:val="20"/>
        </w:rPr>
        <w:t xml:space="preserve">Conventional Tillage </w:t>
      </w:r>
      <w:r w:rsidRPr="00744B82">
        <w:rPr>
          <w:rFonts w:ascii="Times New Roman" w:hAnsi="Times New Roman" w:cs="Times New Roman"/>
          <w:sz w:val="20"/>
        </w:rPr>
        <w:t xml:space="preserve">(CT), the subplot was allocated to crop rotation at four levels, </w:t>
      </w:r>
      <w:r w:rsidRPr="00744B82">
        <w:rPr>
          <w:rFonts w:ascii="Times New Roman" w:hAnsi="Times New Roman" w:cs="Times New Roman"/>
          <w:sz w:val="20"/>
        </w:rPr>
        <w:t xml:space="preserve">Maize-Fallow-Maize </w:t>
      </w:r>
      <w:r w:rsidRPr="00744B82">
        <w:rPr>
          <w:rFonts w:ascii="Times New Roman" w:hAnsi="Times New Roman" w:cs="Times New Roman"/>
          <w:sz w:val="20"/>
        </w:rPr>
        <w:t xml:space="preserve">(MFM), </w:t>
      </w:r>
      <w:r w:rsidRPr="00744B82">
        <w:rPr>
          <w:rFonts w:ascii="Times New Roman" w:hAnsi="Times New Roman" w:cs="Times New Roman"/>
          <w:sz w:val="20"/>
        </w:rPr>
        <w:t xml:space="preserve">Maize-Fallow-Soybean </w:t>
      </w:r>
      <w:r w:rsidRPr="00744B82">
        <w:rPr>
          <w:rFonts w:ascii="Times New Roman" w:hAnsi="Times New Roman" w:cs="Times New Roman"/>
          <w:sz w:val="20"/>
        </w:rPr>
        <w:t xml:space="preserve">(MFS), </w:t>
      </w:r>
      <w:r w:rsidRPr="00744B82">
        <w:rPr>
          <w:rFonts w:ascii="Times New Roman" w:hAnsi="Times New Roman" w:cs="Times New Roman"/>
          <w:sz w:val="20"/>
        </w:rPr>
        <w:t xml:space="preserve">Maize-Wheat-Maize </w:t>
      </w:r>
      <w:r w:rsidRPr="00744B82">
        <w:rPr>
          <w:rFonts w:ascii="Times New Roman" w:hAnsi="Times New Roman" w:cs="Times New Roman"/>
          <w:sz w:val="20"/>
        </w:rPr>
        <w:t xml:space="preserve">(MWM) and </w:t>
      </w:r>
      <w:r w:rsidRPr="00744B82">
        <w:rPr>
          <w:rFonts w:ascii="Times New Roman" w:hAnsi="Times New Roman" w:cs="Times New Roman"/>
          <w:sz w:val="20"/>
        </w:rPr>
        <w:t xml:space="preserve">Maize-Wheat-Soybean </w:t>
      </w:r>
      <w:r w:rsidRPr="00744B82">
        <w:rPr>
          <w:rFonts w:ascii="Times New Roman" w:hAnsi="Times New Roman" w:cs="Times New Roman"/>
          <w:sz w:val="20"/>
        </w:rPr>
        <w:t xml:space="preserve">(MWS) and the sub sub-plot was allocated to crop residue management at two levels, residue removal (R-) and residue retention (R+). Crop rotation significantly affected the biomass and carbon input at </w:t>
      </w:r>
      <w:proofErr w:type="spellStart"/>
      <w:r w:rsidRPr="00744B82">
        <w:rPr>
          <w:rFonts w:ascii="Times New Roman" w:hAnsi="Times New Roman" w:cs="Times New Roman"/>
          <w:sz w:val="20"/>
        </w:rPr>
        <w:t>Phandulwazi</w:t>
      </w:r>
      <w:proofErr w:type="spellEnd"/>
      <w:r w:rsidRPr="00744B82">
        <w:rPr>
          <w:rFonts w:ascii="Times New Roman" w:hAnsi="Times New Roman" w:cs="Times New Roman"/>
          <w:sz w:val="20"/>
        </w:rPr>
        <w:t xml:space="preserve"> </w:t>
      </w:r>
      <w:proofErr w:type="spellStart"/>
      <w:r w:rsidRPr="00744B82">
        <w:rPr>
          <w:rFonts w:ascii="Times New Roman" w:hAnsi="Times New Roman" w:cs="Times New Roman"/>
          <w:sz w:val="20"/>
        </w:rPr>
        <w:t>Jozini</w:t>
      </w:r>
      <w:proofErr w:type="spellEnd"/>
      <w:r w:rsidRPr="00744B82">
        <w:rPr>
          <w:rFonts w:ascii="Times New Roman" w:hAnsi="Times New Roman" w:cs="Times New Roman"/>
          <w:sz w:val="20"/>
        </w:rPr>
        <w:t xml:space="preserve"> </w:t>
      </w:r>
      <w:proofErr w:type="spellStart"/>
      <w:r w:rsidRPr="00744B82">
        <w:rPr>
          <w:rFonts w:ascii="Times New Roman" w:hAnsi="Times New Roman" w:cs="Times New Roman"/>
          <w:sz w:val="20"/>
        </w:rPr>
        <w:t>ecotope</w:t>
      </w:r>
      <w:proofErr w:type="spellEnd"/>
      <w:r w:rsidRPr="00744B82">
        <w:rPr>
          <w:rFonts w:ascii="Times New Roman" w:hAnsi="Times New Roman" w:cs="Times New Roman"/>
          <w:sz w:val="20"/>
        </w:rPr>
        <w:t xml:space="preserve">, however, it interacted with residue retention at Alice </w:t>
      </w:r>
      <w:proofErr w:type="spellStart"/>
      <w:r w:rsidRPr="00744B82">
        <w:rPr>
          <w:rFonts w:ascii="Times New Roman" w:hAnsi="Times New Roman" w:cs="Times New Roman"/>
          <w:sz w:val="20"/>
        </w:rPr>
        <w:t>ecotope</w:t>
      </w:r>
      <w:proofErr w:type="spellEnd"/>
      <w:r w:rsidRPr="00744B82">
        <w:rPr>
          <w:rFonts w:ascii="Times New Roman" w:hAnsi="Times New Roman" w:cs="Times New Roman"/>
          <w:sz w:val="20"/>
        </w:rPr>
        <w:t>. Biomass and carbon</w:t>
      </w:r>
      <w:r>
        <w:rPr>
          <w:rFonts w:ascii="Times New Roman" w:hAnsi="Times New Roman" w:cs="Times New Roman"/>
          <w:sz w:val="20"/>
        </w:rPr>
        <w:t xml:space="preserve"> inputs followed the order: MWM&gt;MWS&gt;MFM&gt;</w:t>
      </w:r>
      <w:r w:rsidRPr="00744B82">
        <w:rPr>
          <w:rFonts w:ascii="Times New Roman" w:hAnsi="Times New Roman" w:cs="Times New Roman"/>
          <w:sz w:val="20"/>
        </w:rPr>
        <w:t>MFS. Generally, retention of residues increased the biomass and carbon input, however, it was only significant with MWM and MWS while it was not significant in MFS and MFM rotations. CT was associated with higher CO</w:t>
      </w:r>
      <w:r w:rsidRPr="00744B82">
        <w:rPr>
          <w:rFonts w:ascii="Times New Roman" w:hAnsi="Times New Roman" w:cs="Times New Roman"/>
          <w:sz w:val="20"/>
          <w:vertAlign w:val="subscript"/>
        </w:rPr>
        <w:t>2</w:t>
      </w:r>
      <w:r w:rsidRPr="00744B82">
        <w:rPr>
          <w:rFonts w:ascii="Times New Roman" w:hAnsi="Times New Roman" w:cs="Times New Roman"/>
          <w:sz w:val="20"/>
        </w:rPr>
        <w:t xml:space="preserve"> fluxes than NT. Residue retention resulted in higher CO</w:t>
      </w:r>
      <w:r w:rsidRPr="00744B82">
        <w:rPr>
          <w:rFonts w:ascii="Times New Roman" w:hAnsi="Times New Roman" w:cs="Times New Roman"/>
          <w:sz w:val="20"/>
          <w:vertAlign w:val="subscript"/>
        </w:rPr>
        <w:t>2</w:t>
      </w:r>
      <w:r w:rsidRPr="00744B82">
        <w:rPr>
          <w:rFonts w:ascii="Times New Roman" w:hAnsi="Times New Roman" w:cs="Times New Roman"/>
          <w:sz w:val="20"/>
        </w:rPr>
        <w:t xml:space="preserve"> fluxes than their removal. The soil water storage was significantly higher in NT as compared to CT while soil temperature increased in CT than NT. Maize, </w:t>
      </w:r>
      <w:r w:rsidRPr="00744B82">
        <w:rPr>
          <w:rFonts w:ascii="Times New Roman" w:hAnsi="Times New Roman" w:cs="Times New Roman"/>
          <w:sz w:val="20"/>
        </w:rPr>
        <w:t>soya bean</w:t>
      </w:r>
      <w:r w:rsidRPr="00744B82">
        <w:rPr>
          <w:rFonts w:ascii="Times New Roman" w:hAnsi="Times New Roman" w:cs="Times New Roman"/>
          <w:sz w:val="20"/>
        </w:rPr>
        <w:t xml:space="preserve"> and winter wheat yields were significantly higher in NT as compared to CT. The CA systems constitute an </w:t>
      </w:r>
      <w:r w:rsidRPr="00744B82">
        <w:rPr>
          <w:rFonts w:ascii="Times New Roman" w:hAnsi="Times New Roman" w:cs="Times New Roman"/>
          <w:i/>
          <w:sz w:val="20"/>
        </w:rPr>
        <w:t xml:space="preserve">in-situ </w:t>
      </w:r>
      <w:r w:rsidRPr="00744B82">
        <w:rPr>
          <w:rFonts w:ascii="Times New Roman" w:hAnsi="Times New Roman" w:cs="Times New Roman"/>
          <w:sz w:val="20"/>
        </w:rPr>
        <w:t>soil and rainwater conservation strategy in Eastern Cape that increase agro-ecosystems resilience to climate change (such as declining or increasing rainfall, increase in temperature) and climate variability (periodical drought, dry spells) and thereby boosting crop yield for ensuring food security.</w:t>
      </w:r>
    </w:p>
    <w:p w:rsidR="00744B82" w:rsidRDefault="00744B82" w:rsidP="00744B82">
      <w:pPr>
        <w:jc w:val="both"/>
        <w:rPr>
          <w:rFonts w:ascii="Times New Roman" w:hAnsi="Times New Roman" w:cs="Times New Roman"/>
          <w:sz w:val="20"/>
        </w:rPr>
      </w:pPr>
      <w:r w:rsidRPr="00744B82">
        <w:rPr>
          <w:rFonts w:ascii="Times New Roman" w:hAnsi="Times New Roman" w:cs="Times New Roman"/>
          <w:b/>
          <w:sz w:val="20"/>
        </w:rPr>
        <w:t>Keyw</w:t>
      </w:r>
      <w:r w:rsidRPr="00744B82">
        <w:rPr>
          <w:rFonts w:ascii="Times New Roman" w:hAnsi="Times New Roman" w:cs="Times New Roman"/>
          <w:b/>
          <w:sz w:val="20"/>
        </w:rPr>
        <w:t>ords:</w:t>
      </w:r>
      <w:r w:rsidRPr="00744B82">
        <w:rPr>
          <w:rFonts w:ascii="Times New Roman" w:hAnsi="Times New Roman" w:cs="Times New Roman"/>
          <w:sz w:val="20"/>
        </w:rPr>
        <w:t xml:space="preserve"> Conservation </w:t>
      </w:r>
      <w:r>
        <w:rPr>
          <w:rFonts w:ascii="Times New Roman" w:hAnsi="Times New Roman" w:cs="Times New Roman"/>
          <w:sz w:val="20"/>
        </w:rPr>
        <w:t>a</w:t>
      </w:r>
      <w:r w:rsidRPr="00744B82">
        <w:rPr>
          <w:rFonts w:ascii="Times New Roman" w:hAnsi="Times New Roman" w:cs="Times New Roman"/>
          <w:sz w:val="20"/>
        </w:rPr>
        <w:t>griculture, No-</w:t>
      </w:r>
      <w:r>
        <w:rPr>
          <w:rFonts w:ascii="Times New Roman" w:hAnsi="Times New Roman" w:cs="Times New Roman"/>
          <w:sz w:val="20"/>
        </w:rPr>
        <w:t>t</w:t>
      </w:r>
      <w:r w:rsidRPr="00744B82">
        <w:rPr>
          <w:rFonts w:ascii="Times New Roman" w:hAnsi="Times New Roman" w:cs="Times New Roman"/>
          <w:sz w:val="20"/>
        </w:rPr>
        <w:t>illa</w:t>
      </w:r>
      <w:bookmarkStart w:id="0" w:name="_GoBack"/>
      <w:bookmarkEnd w:id="0"/>
      <w:r w:rsidRPr="00744B82">
        <w:rPr>
          <w:rFonts w:ascii="Times New Roman" w:hAnsi="Times New Roman" w:cs="Times New Roman"/>
          <w:sz w:val="20"/>
        </w:rPr>
        <w:t xml:space="preserve">ge, Crop </w:t>
      </w:r>
      <w:r>
        <w:rPr>
          <w:rFonts w:ascii="Times New Roman" w:hAnsi="Times New Roman" w:cs="Times New Roman"/>
          <w:sz w:val="20"/>
        </w:rPr>
        <w:t>r</w:t>
      </w:r>
      <w:r w:rsidRPr="00744B82">
        <w:rPr>
          <w:rFonts w:ascii="Times New Roman" w:hAnsi="Times New Roman" w:cs="Times New Roman"/>
          <w:sz w:val="20"/>
        </w:rPr>
        <w:t xml:space="preserve">otation, Maize, </w:t>
      </w:r>
      <w:proofErr w:type="spellStart"/>
      <w:r w:rsidRPr="00744B82">
        <w:rPr>
          <w:rFonts w:ascii="Times New Roman" w:hAnsi="Times New Roman" w:cs="Times New Roman"/>
          <w:sz w:val="20"/>
        </w:rPr>
        <w:t>Soyabean</w:t>
      </w:r>
      <w:proofErr w:type="spellEnd"/>
      <w:r w:rsidRPr="00744B82">
        <w:rPr>
          <w:rFonts w:ascii="Times New Roman" w:hAnsi="Times New Roman" w:cs="Times New Roman"/>
          <w:sz w:val="20"/>
        </w:rPr>
        <w:t xml:space="preserve">, Climate </w:t>
      </w:r>
      <w:r>
        <w:rPr>
          <w:rFonts w:ascii="Times New Roman" w:hAnsi="Times New Roman" w:cs="Times New Roman"/>
          <w:sz w:val="20"/>
        </w:rPr>
        <w:t>c</w:t>
      </w:r>
      <w:r w:rsidRPr="00744B82">
        <w:rPr>
          <w:rFonts w:ascii="Times New Roman" w:hAnsi="Times New Roman" w:cs="Times New Roman"/>
          <w:sz w:val="20"/>
        </w:rPr>
        <w:t>hange</w:t>
      </w:r>
      <w:r>
        <w:rPr>
          <w:rFonts w:ascii="Times New Roman" w:hAnsi="Times New Roman" w:cs="Times New Roman"/>
          <w:sz w:val="20"/>
        </w:rPr>
        <w:t>.</w:t>
      </w:r>
    </w:p>
    <w:p w:rsidR="00744B82" w:rsidRPr="00744B82" w:rsidRDefault="00744B82" w:rsidP="00744B82">
      <w:pPr>
        <w:rPr>
          <w:rFonts w:ascii="Times New Roman" w:hAnsi="Times New Roman" w:cs="Times New Roman"/>
          <w:b/>
          <w:sz w:val="24"/>
        </w:rPr>
      </w:pPr>
      <w:commentRangeStart w:id="1"/>
      <w:r w:rsidRPr="00744B82">
        <w:rPr>
          <w:rFonts w:ascii="Times New Roman" w:hAnsi="Times New Roman" w:cs="Times New Roman"/>
          <w:b/>
          <w:sz w:val="24"/>
        </w:rPr>
        <w:t>Biography</w:t>
      </w:r>
      <w:commentRangeEnd w:id="1"/>
      <w:r w:rsidR="000D47F7">
        <w:rPr>
          <w:rStyle w:val="CommentReference"/>
        </w:rPr>
        <w:commentReference w:id="1"/>
      </w:r>
    </w:p>
    <w:p w:rsidR="00744B82" w:rsidRPr="00744B82" w:rsidRDefault="00744B82">
      <w:pPr>
        <w:rPr>
          <w:rFonts w:ascii="Times New Roman" w:hAnsi="Times New Roman" w:cs="Times New Roman"/>
        </w:rPr>
      </w:pPr>
    </w:p>
    <w:sectPr w:rsidR="00744B82" w:rsidRPr="00744B8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01T15:22:00Z" w:initials="SS">
    <w:p w:rsidR="000D47F7" w:rsidRDefault="000D47F7">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B82"/>
    <w:rsid w:val="000D47F7"/>
    <w:rsid w:val="00474203"/>
    <w:rsid w:val="00535872"/>
    <w:rsid w:val="00744B8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47F7"/>
    <w:rPr>
      <w:sz w:val="16"/>
      <w:szCs w:val="16"/>
    </w:rPr>
  </w:style>
  <w:style w:type="paragraph" w:styleId="CommentText">
    <w:name w:val="annotation text"/>
    <w:basedOn w:val="Normal"/>
    <w:link w:val="CommentTextChar"/>
    <w:uiPriority w:val="99"/>
    <w:semiHidden/>
    <w:unhideWhenUsed/>
    <w:rsid w:val="000D47F7"/>
    <w:pPr>
      <w:spacing w:line="240" w:lineRule="auto"/>
    </w:pPr>
    <w:rPr>
      <w:sz w:val="20"/>
      <w:szCs w:val="20"/>
    </w:rPr>
  </w:style>
  <w:style w:type="character" w:customStyle="1" w:styleId="CommentTextChar">
    <w:name w:val="Comment Text Char"/>
    <w:basedOn w:val="DefaultParagraphFont"/>
    <w:link w:val="CommentText"/>
    <w:uiPriority w:val="99"/>
    <w:semiHidden/>
    <w:rsid w:val="000D47F7"/>
    <w:rPr>
      <w:sz w:val="20"/>
      <w:szCs w:val="20"/>
    </w:rPr>
  </w:style>
  <w:style w:type="paragraph" w:styleId="CommentSubject">
    <w:name w:val="annotation subject"/>
    <w:basedOn w:val="CommentText"/>
    <w:next w:val="CommentText"/>
    <w:link w:val="CommentSubjectChar"/>
    <w:uiPriority w:val="99"/>
    <w:semiHidden/>
    <w:unhideWhenUsed/>
    <w:rsid w:val="000D47F7"/>
    <w:rPr>
      <w:b/>
      <w:bCs/>
    </w:rPr>
  </w:style>
  <w:style w:type="character" w:customStyle="1" w:styleId="CommentSubjectChar">
    <w:name w:val="Comment Subject Char"/>
    <w:basedOn w:val="CommentTextChar"/>
    <w:link w:val="CommentSubject"/>
    <w:uiPriority w:val="99"/>
    <w:semiHidden/>
    <w:rsid w:val="000D47F7"/>
    <w:rPr>
      <w:b/>
      <w:bCs/>
      <w:sz w:val="20"/>
      <w:szCs w:val="20"/>
    </w:rPr>
  </w:style>
  <w:style w:type="paragraph" w:styleId="BalloonText">
    <w:name w:val="Balloon Text"/>
    <w:basedOn w:val="Normal"/>
    <w:link w:val="BalloonTextChar"/>
    <w:uiPriority w:val="99"/>
    <w:semiHidden/>
    <w:unhideWhenUsed/>
    <w:rsid w:val="000D47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7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47F7"/>
    <w:rPr>
      <w:sz w:val="16"/>
      <w:szCs w:val="16"/>
    </w:rPr>
  </w:style>
  <w:style w:type="paragraph" w:styleId="CommentText">
    <w:name w:val="annotation text"/>
    <w:basedOn w:val="Normal"/>
    <w:link w:val="CommentTextChar"/>
    <w:uiPriority w:val="99"/>
    <w:semiHidden/>
    <w:unhideWhenUsed/>
    <w:rsid w:val="000D47F7"/>
    <w:pPr>
      <w:spacing w:line="240" w:lineRule="auto"/>
    </w:pPr>
    <w:rPr>
      <w:sz w:val="20"/>
      <w:szCs w:val="20"/>
    </w:rPr>
  </w:style>
  <w:style w:type="character" w:customStyle="1" w:styleId="CommentTextChar">
    <w:name w:val="Comment Text Char"/>
    <w:basedOn w:val="DefaultParagraphFont"/>
    <w:link w:val="CommentText"/>
    <w:uiPriority w:val="99"/>
    <w:semiHidden/>
    <w:rsid w:val="000D47F7"/>
    <w:rPr>
      <w:sz w:val="20"/>
      <w:szCs w:val="20"/>
    </w:rPr>
  </w:style>
  <w:style w:type="paragraph" w:styleId="CommentSubject">
    <w:name w:val="annotation subject"/>
    <w:basedOn w:val="CommentText"/>
    <w:next w:val="CommentText"/>
    <w:link w:val="CommentSubjectChar"/>
    <w:uiPriority w:val="99"/>
    <w:semiHidden/>
    <w:unhideWhenUsed/>
    <w:rsid w:val="000D47F7"/>
    <w:rPr>
      <w:b/>
      <w:bCs/>
    </w:rPr>
  </w:style>
  <w:style w:type="character" w:customStyle="1" w:styleId="CommentSubjectChar">
    <w:name w:val="Comment Subject Char"/>
    <w:basedOn w:val="CommentTextChar"/>
    <w:link w:val="CommentSubject"/>
    <w:uiPriority w:val="99"/>
    <w:semiHidden/>
    <w:rsid w:val="000D47F7"/>
    <w:rPr>
      <w:b/>
      <w:bCs/>
      <w:sz w:val="20"/>
      <w:szCs w:val="20"/>
    </w:rPr>
  </w:style>
  <w:style w:type="paragraph" w:styleId="BalloonText">
    <w:name w:val="Balloon Text"/>
    <w:basedOn w:val="Normal"/>
    <w:link w:val="BalloonTextChar"/>
    <w:uiPriority w:val="99"/>
    <w:semiHidden/>
    <w:unhideWhenUsed/>
    <w:rsid w:val="000D47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7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2022-07-01T09:14:00Z</dcterms:created>
  <dcterms:modified xsi:type="dcterms:W3CDTF">2022-07-01T09:53:00Z</dcterms:modified>
</cp:coreProperties>
</file>