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3FC" w:rsidRPr="00E96A62" w:rsidRDefault="00FC53FC" w:rsidP="0058361B">
      <w:pPr>
        <w:pStyle w:val="NoSpacing"/>
        <w:spacing w:after="200"/>
        <w:rPr>
          <w:rFonts w:ascii="Times New Roman" w:hAnsi="Times New Roman"/>
          <w:b/>
          <w:sz w:val="32"/>
          <w:szCs w:val="28"/>
        </w:rPr>
      </w:pPr>
      <w:commentRangeStart w:id="0"/>
      <w:r w:rsidRPr="00E96A62">
        <w:rPr>
          <w:rFonts w:ascii="Times New Roman" w:hAnsi="Times New Roman"/>
          <w:b/>
          <w:sz w:val="32"/>
          <w:szCs w:val="28"/>
        </w:rPr>
        <w:t>Mechanisms for successful biological restoration of the threatened</w:t>
      </w:r>
      <w:r w:rsidR="00E96A62" w:rsidRPr="00E96A62">
        <w:rPr>
          <w:rFonts w:ascii="Times New Roman" w:hAnsi="Times New Roman"/>
          <w:b/>
          <w:sz w:val="32"/>
          <w:szCs w:val="28"/>
        </w:rPr>
        <w:t xml:space="preserve"> </w:t>
      </w:r>
      <w:proofErr w:type="spellStart"/>
      <w:r w:rsidRPr="00E96A62">
        <w:rPr>
          <w:rFonts w:ascii="Times New Roman" w:hAnsi="Times New Roman"/>
          <w:b/>
          <w:i/>
          <w:sz w:val="32"/>
          <w:szCs w:val="28"/>
        </w:rPr>
        <w:t>Juniperus</w:t>
      </w:r>
      <w:proofErr w:type="spellEnd"/>
      <w:r w:rsidRPr="00E96A62">
        <w:rPr>
          <w:rFonts w:ascii="Times New Roman" w:hAnsi="Times New Roman"/>
          <w:b/>
          <w:i/>
          <w:sz w:val="32"/>
          <w:szCs w:val="28"/>
        </w:rPr>
        <w:t xml:space="preserve"> </w:t>
      </w:r>
      <w:proofErr w:type="spellStart"/>
      <w:r w:rsidRPr="00E96A62">
        <w:rPr>
          <w:rFonts w:ascii="Times New Roman" w:hAnsi="Times New Roman"/>
          <w:b/>
          <w:i/>
          <w:sz w:val="32"/>
          <w:szCs w:val="28"/>
        </w:rPr>
        <w:t>procera</w:t>
      </w:r>
      <w:proofErr w:type="spellEnd"/>
      <w:r w:rsidR="00E96A62" w:rsidRPr="00E96A62">
        <w:rPr>
          <w:rFonts w:ascii="Times New Roman" w:hAnsi="Times New Roman"/>
          <w:b/>
          <w:i/>
          <w:sz w:val="32"/>
          <w:szCs w:val="28"/>
        </w:rPr>
        <w:t xml:space="preserve"> </w:t>
      </w:r>
      <w:r w:rsidRPr="00E96A62">
        <w:rPr>
          <w:rFonts w:ascii="Times New Roman" w:hAnsi="Times New Roman"/>
          <w:b/>
          <w:sz w:val="32"/>
          <w:szCs w:val="28"/>
        </w:rPr>
        <w:t>(</w:t>
      </w:r>
      <w:proofErr w:type="spellStart"/>
      <w:r w:rsidRPr="00E96A62">
        <w:rPr>
          <w:rFonts w:ascii="Times New Roman" w:hAnsi="Times New Roman"/>
          <w:b/>
          <w:sz w:val="32"/>
          <w:szCs w:val="28"/>
        </w:rPr>
        <w:t>Cupressaceae</w:t>
      </w:r>
      <w:proofErr w:type="spellEnd"/>
      <w:r w:rsidRPr="00E96A62">
        <w:rPr>
          <w:rFonts w:ascii="Times New Roman" w:hAnsi="Times New Roman"/>
          <w:b/>
          <w:sz w:val="32"/>
          <w:szCs w:val="28"/>
        </w:rPr>
        <w:t>) on degraded landscape, Ethiopia</w:t>
      </w:r>
      <w:commentRangeEnd w:id="0"/>
      <w:r w:rsidR="00832602">
        <w:rPr>
          <w:rStyle w:val="CommentReference"/>
        </w:rPr>
        <w:commentReference w:id="0"/>
      </w:r>
    </w:p>
    <w:p w:rsidR="00E96A62" w:rsidRDefault="00FC53FC" w:rsidP="0058361B">
      <w:pPr>
        <w:shd w:val="clear" w:color="auto" w:fill="FFFFFF"/>
        <w:spacing w:line="240" w:lineRule="auto"/>
        <w:jc w:val="both"/>
        <w:textAlignment w:val="baseline"/>
        <w:outlineLvl w:val="1"/>
        <w:rPr>
          <w:rFonts w:ascii="Times New Roman" w:eastAsia="Arial Unicode MS" w:hAnsi="Times New Roman"/>
          <w:sz w:val="24"/>
          <w:szCs w:val="24"/>
        </w:rPr>
      </w:pPr>
      <w:proofErr w:type="spellStart"/>
      <w:r w:rsidRPr="00E96A62">
        <w:rPr>
          <w:rFonts w:ascii="Times New Roman" w:eastAsia="Arial Unicode MS" w:hAnsi="Times New Roman"/>
          <w:sz w:val="24"/>
          <w:szCs w:val="24"/>
        </w:rPr>
        <w:t>Legesse</w:t>
      </w:r>
      <w:proofErr w:type="spellEnd"/>
      <w:r w:rsidRPr="00E96A62">
        <w:rPr>
          <w:rFonts w:ascii="Times New Roman" w:eastAsia="Arial Unicode MS" w:hAnsi="Times New Roman"/>
          <w:sz w:val="24"/>
          <w:szCs w:val="24"/>
        </w:rPr>
        <w:t xml:space="preserve"> Negash</w:t>
      </w:r>
      <w:r w:rsidR="00E96A62" w:rsidRPr="00E96A62">
        <w:rPr>
          <w:rFonts w:ascii="Times New Roman" w:eastAsia="Arial Unicode MS" w:hAnsi="Times New Roman"/>
          <w:sz w:val="24"/>
          <w:szCs w:val="24"/>
          <w:vertAlign w:val="superscript"/>
        </w:rPr>
        <w:t>1</w:t>
      </w:r>
      <w:r w:rsidR="00E96A62">
        <w:rPr>
          <w:rFonts w:ascii="Times New Roman" w:eastAsia="Arial Unicode MS" w:hAnsi="Times New Roman"/>
          <w:sz w:val="24"/>
          <w:szCs w:val="24"/>
        </w:rPr>
        <w:t xml:space="preserve"> </w:t>
      </w:r>
      <w:r w:rsidRPr="00E96A62">
        <w:rPr>
          <w:rFonts w:ascii="Times New Roman" w:eastAsia="Arial Unicode MS" w:hAnsi="Times New Roman"/>
          <w:sz w:val="24"/>
          <w:szCs w:val="24"/>
        </w:rPr>
        <w:t xml:space="preserve">and </w:t>
      </w:r>
      <w:r w:rsidRPr="00E96A62">
        <w:rPr>
          <w:rFonts w:ascii="Times New Roman" w:eastAsia="Arial Unicode MS" w:hAnsi="Times New Roman"/>
          <w:sz w:val="24"/>
          <w:szCs w:val="24"/>
        </w:rPr>
        <w:tab/>
      </w:r>
      <w:proofErr w:type="spellStart"/>
      <w:r w:rsidRPr="00E96A62">
        <w:rPr>
          <w:rFonts w:ascii="Times New Roman" w:eastAsia="Arial Unicode MS" w:hAnsi="Times New Roman"/>
          <w:sz w:val="24"/>
          <w:szCs w:val="24"/>
        </w:rPr>
        <w:t>Birhanu</w:t>
      </w:r>
      <w:proofErr w:type="spellEnd"/>
      <w:r w:rsidRPr="00E96A62">
        <w:rPr>
          <w:rFonts w:ascii="Times New Roman" w:eastAsia="Arial Unicode MS" w:hAnsi="Times New Roman"/>
          <w:sz w:val="24"/>
          <w:szCs w:val="24"/>
        </w:rPr>
        <w:t xml:space="preserve"> kagnew</w:t>
      </w:r>
      <w:r w:rsidR="00E96A62" w:rsidRPr="00E96A62">
        <w:rPr>
          <w:rFonts w:ascii="Times New Roman" w:eastAsia="Arial Unicode MS" w:hAnsi="Times New Roman"/>
          <w:sz w:val="24"/>
          <w:szCs w:val="24"/>
          <w:vertAlign w:val="superscript"/>
        </w:rPr>
        <w:t>2</w:t>
      </w:r>
      <w:r w:rsidR="00E96A62">
        <w:rPr>
          <w:rFonts w:ascii="Times New Roman" w:eastAsia="Arial Unicode MS" w:hAnsi="Times New Roman"/>
          <w:sz w:val="24"/>
          <w:szCs w:val="24"/>
        </w:rPr>
        <w:t>*</w:t>
      </w:r>
      <w:r w:rsidRPr="00E96A62">
        <w:rPr>
          <w:rFonts w:ascii="Times New Roman" w:eastAsia="Arial Unicode MS" w:hAnsi="Times New Roman"/>
          <w:sz w:val="24"/>
          <w:szCs w:val="24"/>
        </w:rPr>
        <w:t xml:space="preserve">, </w:t>
      </w:r>
    </w:p>
    <w:p w:rsidR="00E96A62" w:rsidRPr="00E96A62" w:rsidRDefault="00E96A62" w:rsidP="0058361B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Arial Unicode MS" w:hAnsi="Times New Roman"/>
          <w:szCs w:val="24"/>
        </w:rPr>
      </w:pPr>
      <w:r w:rsidRPr="00E96A62">
        <w:rPr>
          <w:rFonts w:ascii="Times New Roman" w:eastAsia="Arial Unicode MS" w:hAnsi="Times New Roman"/>
          <w:szCs w:val="24"/>
          <w:vertAlign w:val="superscript"/>
        </w:rPr>
        <w:t>1</w:t>
      </w:r>
      <w:r w:rsidRPr="00E96A62">
        <w:rPr>
          <w:rFonts w:ascii="Times New Roman" w:eastAsia="Arial Unicode MS" w:hAnsi="Times New Roman"/>
          <w:szCs w:val="24"/>
        </w:rPr>
        <w:t>Addis Ababa University, Ethiopia</w:t>
      </w:r>
    </w:p>
    <w:p w:rsidR="00E96A62" w:rsidRPr="00E96A62" w:rsidRDefault="00E96A62" w:rsidP="0058361B">
      <w:pPr>
        <w:shd w:val="clear" w:color="auto" w:fill="FFFFFF"/>
        <w:spacing w:line="240" w:lineRule="auto"/>
        <w:jc w:val="both"/>
        <w:textAlignment w:val="baseline"/>
        <w:outlineLvl w:val="1"/>
        <w:rPr>
          <w:rFonts w:ascii="Times New Roman" w:eastAsia="Arial Unicode MS" w:hAnsi="Times New Roman"/>
          <w:szCs w:val="24"/>
        </w:rPr>
      </w:pPr>
      <w:r w:rsidRPr="00E96A62">
        <w:rPr>
          <w:rFonts w:ascii="Times New Roman" w:eastAsia="Arial Unicode MS" w:hAnsi="Times New Roman"/>
          <w:szCs w:val="24"/>
          <w:vertAlign w:val="superscript"/>
        </w:rPr>
        <w:t>2</w:t>
      </w:r>
      <w:r w:rsidRPr="00E96A62">
        <w:rPr>
          <w:rFonts w:ascii="Times New Roman" w:eastAsia="Arial Unicode MS" w:hAnsi="Times New Roman"/>
          <w:szCs w:val="24"/>
        </w:rPr>
        <w:t>Hawassa University, Ethiopia</w:t>
      </w:r>
    </w:p>
    <w:p w:rsidR="00FC53FC" w:rsidRPr="00E96A62" w:rsidRDefault="00FC53FC" w:rsidP="0058361B">
      <w:pPr>
        <w:shd w:val="clear" w:color="auto" w:fill="FFFFFF"/>
        <w:spacing w:line="240" w:lineRule="auto"/>
        <w:jc w:val="center"/>
        <w:textAlignment w:val="baseline"/>
        <w:outlineLvl w:val="1"/>
        <w:rPr>
          <w:rFonts w:ascii="Times New Roman" w:eastAsia="Arial Unicode MS" w:hAnsi="Times New Roman"/>
          <w:b/>
          <w:sz w:val="24"/>
          <w:szCs w:val="24"/>
        </w:rPr>
      </w:pPr>
      <w:r w:rsidRPr="00E96A62">
        <w:rPr>
          <w:rFonts w:ascii="Times New Roman" w:eastAsia="Arial Unicode MS" w:hAnsi="Times New Roman"/>
          <w:b/>
          <w:sz w:val="24"/>
          <w:szCs w:val="24"/>
        </w:rPr>
        <w:t>Abstract</w:t>
      </w:r>
    </w:p>
    <w:p w:rsidR="00E96A62" w:rsidRDefault="00FC53FC" w:rsidP="0058361B">
      <w:pPr>
        <w:shd w:val="clear" w:color="auto" w:fill="FFFFFF"/>
        <w:spacing w:line="240" w:lineRule="auto"/>
        <w:jc w:val="both"/>
        <w:textAlignment w:val="baseline"/>
        <w:rPr>
          <w:rFonts w:ascii="Times New Roman" w:eastAsia="Arial Unicode MS" w:hAnsi="Times New Roman"/>
          <w:i/>
          <w:iCs/>
          <w:sz w:val="20"/>
          <w:szCs w:val="24"/>
        </w:rPr>
      </w:pPr>
      <w:proofErr w:type="spellStart"/>
      <w:proofErr w:type="gramStart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Juniperus</w:t>
      </w:r>
      <w:proofErr w:type="spellEnd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 xml:space="preserve"> </w:t>
      </w:r>
      <w:proofErr w:type="spellStart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procera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> </w:t>
      </w:r>
      <w:proofErr w:type="spellStart"/>
      <w:r w:rsidRPr="00E96A62">
        <w:rPr>
          <w:rFonts w:ascii="Times New Roman" w:eastAsia="Arial Unicode MS" w:hAnsi="Times New Roman"/>
          <w:sz w:val="20"/>
          <w:szCs w:val="24"/>
        </w:rPr>
        <w:t>Hochst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>.</w:t>
      </w:r>
      <w:proofErr w:type="gramEnd"/>
      <w:r w:rsidRPr="00E96A62">
        <w:rPr>
          <w:rFonts w:ascii="Times New Roman" w:eastAsia="Arial Unicode MS" w:hAnsi="Times New Roman"/>
          <w:sz w:val="20"/>
          <w:szCs w:val="24"/>
        </w:rPr>
        <w:t xml:space="preserve"> </w:t>
      </w:r>
      <w:proofErr w:type="gramStart"/>
      <w:r w:rsidRPr="00E96A62">
        <w:rPr>
          <w:rFonts w:ascii="Times New Roman" w:eastAsia="Arial Unicode MS" w:hAnsi="Times New Roman"/>
          <w:sz w:val="20"/>
          <w:szCs w:val="24"/>
        </w:rPr>
        <w:t>ex</w:t>
      </w:r>
      <w:proofErr w:type="gramEnd"/>
      <w:r w:rsidRPr="00E96A62">
        <w:rPr>
          <w:rFonts w:ascii="Times New Roman" w:eastAsia="Arial Unicode MS" w:hAnsi="Times New Roman"/>
          <w:sz w:val="20"/>
          <w:szCs w:val="24"/>
        </w:rPr>
        <w:t xml:space="preserve">. </w:t>
      </w:r>
      <w:proofErr w:type="spellStart"/>
      <w:r w:rsidRPr="00E96A62">
        <w:rPr>
          <w:rFonts w:ascii="Times New Roman" w:eastAsia="Arial Unicode MS" w:hAnsi="Times New Roman"/>
          <w:sz w:val="20"/>
          <w:szCs w:val="24"/>
        </w:rPr>
        <w:t>Endl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>. (</w:t>
      </w:r>
      <w:proofErr w:type="spellStart"/>
      <w:r w:rsidRPr="00E96A62">
        <w:rPr>
          <w:rFonts w:ascii="Times New Roman" w:eastAsia="Arial Unicode MS" w:hAnsi="Times New Roman"/>
          <w:sz w:val="20"/>
          <w:szCs w:val="24"/>
        </w:rPr>
        <w:t>Cupressaceae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 xml:space="preserve">) is world’s largest juniper, but is currently threatened owing to multiple anthropogenic factors. This paper describes mechanisms for the successful biological restoration of African </w:t>
      </w:r>
      <w:proofErr w:type="spellStart"/>
      <w:r w:rsidRPr="00E96A62">
        <w:rPr>
          <w:rFonts w:ascii="Times New Roman" w:eastAsia="Arial Unicode MS" w:hAnsi="Times New Roman"/>
          <w:sz w:val="20"/>
          <w:szCs w:val="24"/>
        </w:rPr>
        <w:t>pencilcedar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 xml:space="preserve"> in a degraded landscape that had been deplete</w:t>
      </w:r>
      <w:bookmarkStart w:id="1" w:name="_GoBack"/>
      <w:bookmarkEnd w:id="1"/>
      <w:r w:rsidRPr="00E96A62">
        <w:rPr>
          <w:rFonts w:ascii="Times New Roman" w:eastAsia="Arial Unicode MS" w:hAnsi="Times New Roman"/>
          <w:sz w:val="20"/>
          <w:szCs w:val="24"/>
        </w:rPr>
        <w:t xml:space="preserve">d of organic matter and essential nutrient elements as a consequence of relentless deforestation, soil erosion, unsustainable farming and overgrazing. We used </w:t>
      </w:r>
      <w:proofErr w:type="spellStart"/>
      <w:r w:rsidRPr="00E96A62">
        <w:rPr>
          <w:rFonts w:ascii="Times New Roman" w:eastAsia="Arial Unicode MS" w:hAnsi="Times New Roman"/>
          <w:sz w:val="20"/>
          <w:szCs w:val="24"/>
        </w:rPr>
        <w:t>stecklings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 xml:space="preserve"> (= planting materials derived from rooted cuttings) of </w:t>
      </w:r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 xml:space="preserve">J. </w:t>
      </w:r>
      <w:proofErr w:type="spellStart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procera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>, and deployed </w:t>
      </w:r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 xml:space="preserve">Acacia </w:t>
      </w:r>
      <w:proofErr w:type="spellStart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abyssinica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> </w:t>
      </w:r>
      <w:proofErr w:type="spellStart"/>
      <w:r w:rsidRPr="00E96A62">
        <w:rPr>
          <w:rFonts w:ascii="Times New Roman" w:eastAsia="Arial Unicode MS" w:hAnsi="Times New Roman"/>
          <w:sz w:val="20"/>
          <w:szCs w:val="24"/>
        </w:rPr>
        <w:t>Hochst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 xml:space="preserve">. </w:t>
      </w:r>
      <w:proofErr w:type="gramStart"/>
      <w:r w:rsidRPr="00E96A62">
        <w:rPr>
          <w:rFonts w:ascii="Times New Roman" w:eastAsia="Arial Unicode MS" w:hAnsi="Times New Roman"/>
          <w:sz w:val="20"/>
          <w:szCs w:val="24"/>
        </w:rPr>
        <w:t>ex</w:t>
      </w:r>
      <w:proofErr w:type="gramEnd"/>
      <w:r w:rsidRPr="00E96A62">
        <w:rPr>
          <w:rFonts w:ascii="Times New Roman" w:eastAsia="Arial Unicode MS" w:hAnsi="Times New Roman"/>
          <w:sz w:val="20"/>
          <w:szCs w:val="24"/>
        </w:rPr>
        <w:t xml:space="preserve"> </w:t>
      </w:r>
      <w:proofErr w:type="spellStart"/>
      <w:r w:rsidRPr="00E96A62">
        <w:rPr>
          <w:rFonts w:ascii="Times New Roman" w:eastAsia="Arial Unicode MS" w:hAnsi="Times New Roman"/>
          <w:sz w:val="20"/>
          <w:szCs w:val="24"/>
        </w:rPr>
        <w:t>Benth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 xml:space="preserve">. </w:t>
      </w:r>
      <w:proofErr w:type="gramStart"/>
      <w:r w:rsidRPr="00E96A62">
        <w:rPr>
          <w:rFonts w:ascii="Times New Roman" w:eastAsia="Arial Unicode MS" w:hAnsi="Times New Roman"/>
          <w:sz w:val="20"/>
          <w:szCs w:val="24"/>
        </w:rPr>
        <w:t>(</w:t>
      </w:r>
      <w:proofErr w:type="spellStart"/>
      <w:r w:rsidRPr="00E96A62">
        <w:rPr>
          <w:rFonts w:ascii="Times New Roman" w:eastAsia="Arial Unicode MS" w:hAnsi="Times New Roman"/>
          <w:sz w:val="20"/>
          <w:szCs w:val="24"/>
        </w:rPr>
        <w:t>Fabaceae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 xml:space="preserve">) to serve as a </w:t>
      </w:r>
      <w:proofErr w:type="spellStart"/>
      <w:r w:rsidRPr="00E96A62">
        <w:rPr>
          <w:rFonts w:ascii="Times New Roman" w:eastAsia="Arial Unicode MS" w:hAnsi="Times New Roman"/>
          <w:sz w:val="20"/>
          <w:szCs w:val="24"/>
        </w:rPr>
        <w:t>putativefoster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 xml:space="preserve"> tree.</w:t>
      </w:r>
      <w:proofErr w:type="gramEnd"/>
      <w:r w:rsidRPr="00E96A62">
        <w:rPr>
          <w:rFonts w:ascii="Times New Roman" w:eastAsia="Arial Unicode MS" w:hAnsi="Times New Roman"/>
          <w:sz w:val="20"/>
          <w:szCs w:val="24"/>
        </w:rPr>
        <w:t xml:space="preserve"> The study was conducted for a period of 7 years, with major soil fertility indicators determined at years 0, 3 and 7. We found that mean height, crown length, crown diameter, branch length, and branch numbers of </w:t>
      </w:r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 xml:space="preserve">J. </w:t>
      </w:r>
      <w:proofErr w:type="spellStart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procera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> trees grown in association with </w:t>
      </w:r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 xml:space="preserve">A. </w:t>
      </w:r>
      <w:proofErr w:type="spellStart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abyssinica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> were significantly (</w:t>
      </w:r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p</w:t>
      </w:r>
      <w:r w:rsidR="00E96A62">
        <w:rPr>
          <w:rFonts w:ascii="Times New Roman" w:eastAsia="Arial Unicode MS" w:hAnsi="Times New Roman"/>
          <w:sz w:val="20"/>
          <w:szCs w:val="24"/>
        </w:rPr>
        <w:t>=</w:t>
      </w:r>
      <w:r w:rsidRPr="00E96A62">
        <w:rPr>
          <w:rFonts w:ascii="Times New Roman" w:eastAsia="Arial Unicode MS" w:hAnsi="Times New Roman"/>
          <w:sz w:val="20"/>
          <w:szCs w:val="24"/>
        </w:rPr>
        <w:t>0.001) higher than those grown without the putative foster tree. Mean plant-available P (15 ± 2.1 ppm) and soil N-content (0.42</w:t>
      </w:r>
      <w:r w:rsidR="00E96A62">
        <w:rPr>
          <w:rFonts w:ascii="Times New Roman" w:eastAsia="Arial Unicode MS" w:hAnsi="Times New Roman"/>
          <w:sz w:val="20"/>
          <w:szCs w:val="24"/>
        </w:rPr>
        <w:t xml:space="preserve"> ± 0.04%) were approximately 3 and 2 </w:t>
      </w:r>
      <w:r w:rsidRPr="00E96A62">
        <w:rPr>
          <w:rFonts w:ascii="Times New Roman" w:eastAsia="Arial Unicode MS" w:hAnsi="Times New Roman"/>
          <w:sz w:val="20"/>
          <w:szCs w:val="24"/>
        </w:rPr>
        <w:t>fold higher, respectively, in the </w:t>
      </w:r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 xml:space="preserve">A. </w:t>
      </w:r>
      <w:proofErr w:type="spellStart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abyssinica</w:t>
      </w:r>
      <w:proofErr w:type="spellEnd"/>
      <w:r w:rsidR="00E96A62">
        <w:rPr>
          <w:rFonts w:ascii="Times New Roman" w:eastAsia="Arial Unicode MS" w:hAnsi="Times New Roman"/>
          <w:sz w:val="20"/>
          <w:szCs w:val="24"/>
        </w:rPr>
        <w:t xml:space="preserve"> </w:t>
      </w:r>
      <w:r w:rsidRPr="00E96A62">
        <w:rPr>
          <w:rFonts w:ascii="Times New Roman" w:eastAsia="Arial Unicode MS" w:hAnsi="Times New Roman"/>
          <w:sz w:val="20"/>
          <w:szCs w:val="24"/>
        </w:rPr>
        <w:t>treated plots than in the non-treated ones. Similarly, the levels of exchangeable cations and soil organic carbon were twice higher in the</w:t>
      </w:r>
      <w:r w:rsidR="00E96A62">
        <w:rPr>
          <w:rFonts w:ascii="Times New Roman" w:eastAsia="Arial Unicode MS" w:hAnsi="Times New Roman"/>
          <w:sz w:val="20"/>
          <w:szCs w:val="24"/>
        </w:rPr>
        <w:t xml:space="preserve"> </w:t>
      </w:r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 xml:space="preserve">A. </w:t>
      </w:r>
      <w:proofErr w:type="spellStart"/>
      <w:r w:rsidR="00E96A62">
        <w:rPr>
          <w:rFonts w:ascii="Times New Roman" w:eastAsia="Arial Unicode MS" w:hAnsi="Times New Roman"/>
          <w:i/>
          <w:iCs/>
          <w:sz w:val="20"/>
          <w:szCs w:val="24"/>
        </w:rPr>
        <w:t>a</w:t>
      </w:r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byssinica</w:t>
      </w:r>
      <w:proofErr w:type="spellEnd"/>
      <w:r w:rsidR="00E96A62">
        <w:rPr>
          <w:rFonts w:ascii="Times New Roman" w:eastAsia="Arial Unicode MS" w:hAnsi="Times New Roman"/>
          <w:sz w:val="20"/>
          <w:szCs w:val="24"/>
        </w:rPr>
        <w:t xml:space="preserve"> </w:t>
      </w:r>
      <w:r w:rsidRPr="00E96A62">
        <w:rPr>
          <w:rFonts w:ascii="Times New Roman" w:eastAsia="Arial Unicode MS" w:hAnsi="Times New Roman"/>
          <w:sz w:val="20"/>
          <w:szCs w:val="24"/>
        </w:rPr>
        <w:t>treated plots than in the non-treated ones. Cation exchange capacity improved with restoratio</w:t>
      </w:r>
      <w:r w:rsidR="00E96A62">
        <w:rPr>
          <w:rFonts w:ascii="Times New Roman" w:eastAsia="Arial Unicode MS" w:hAnsi="Times New Roman"/>
          <w:sz w:val="20"/>
          <w:szCs w:val="24"/>
        </w:rPr>
        <w:t>n time, both in the 0-15 and 15-</w:t>
      </w:r>
      <w:r w:rsidRPr="00E96A62">
        <w:rPr>
          <w:rFonts w:ascii="Times New Roman" w:eastAsia="Arial Unicode MS" w:hAnsi="Times New Roman"/>
          <w:sz w:val="20"/>
          <w:szCs w:val="24"/>
        </w:rPr>
        <w:t>30 cm soil profiles, but the extent of improvement was significantly (</w:t>
      </w:r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p</w:t>
      </w:r>
      <w:r w:rsidR="00E96A62">
        <w:rPr>
          <w:rFonts w:ascii="Times New Roman" w:eastAsia="Arial Unicode MS" w:hAnsi="Times New Roman"/>
          <w:sz w:val="20"/>
          <w:szCs w:val="24"/>
        </w:rPr>
        <w:t>=0.001) higher in the 0-</w:t>
      </w:r>
      <w:r w:rsidRPr="00E96A62">
        <w:rPr>
          <w:rFonts w:ascii="Times New Roman" w:eastAsia="Arial Unicode MS" w:hAnsi="Times New Roman"/>
          <w:sz w:val="20"/>
          <w:szCs w:val="24"/>
        </w:rPr>
        <w:t>15 cm soil profile of the </w:t>
      </w:r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 xml:space="preserve">A. </w:t>
      </w:r>
      <w:proofErr w:type="spellStart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abyssinica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>-treated plots than in the non-treated ones. We conclude that successful restoration of </w:t>
      </w:r>
      <w:proofErr w:type="spellStart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Juniperus</w:t>
      </w:r>
      <w:proofErr w:type="spellEnd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 xml:space="preserve"> </w:t>
      </w:r>
      <w:proofErr w:type="spellStart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procera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 xml:space="preserve"> in degraded landscapes and across the species’ range of habitats is feasible provided that strong and well-fortified </w:t>
      </w:r>
      <w:proofErr w:type="spellStart"/>
      <w:r w:rsidRPr="00E96A62">
        <w:rPr>
          <w:rFonts w:ascii="Times New Roman" w:eastAsia="Arial Unicode MS" w:hAnsi="Times New Roman"/>
          <w:sz w:val="20"/>
          <w:szCs w:val="24"/>
        </w:rPr>
        <w:t>stecklings</w:t>
      </w:r>
      <w:proofErr w:type="spellEnd"/>
      <w:r w:rsidRPr="00E96A62">
        <w:rPr>
          <w:rFonts w:ascii="Times New Roman" w:eastAsia="Arial Unicode MS" w:hAnsi="Times New Roman"/>
          <w:sz w:val="20"/>
          <w:szCs w:val="24"/>
        </w:rPr>
        <w:t xml:space="preserve"> are established along with the N</w:t>
      </w:r>
      <w:r w:rsidRPr="00E96A62">
        <w:rPr>
          <w:rFonts w:ascii="Times New Roman" w:eastAsia="Arial Unicode MS" w:hAnsi="Times New Roman"/>
          <w:sz w:val="20"/>
          <w:szCs w:val="24"/>
          <w:bdr w:val="none" w:sz="0" w:space="0" w:color="auto" w:frame="1"/>
          <w:vertAlign w:val="subscript"/>
        </w:rPr>
        <w:t>2</w:t>
      </w:r>
      <w:r w:rsidRPr="00E96A62">
        <w:rPr>
          <w:rFonts w:ascii="Times New Roman" w:eastAsia="Arial Unicode MS" w:hAnsi="Times New Roman"/>
          <w:sz w:val="20"/>
          <w:szCs w:val="24"/>
        </w:rPr>
        <w:t>-fixing, fast-growing and drought-tolerant </w:t>
      </w:r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 xml:space="preserve">Acacia </w:t>
      </w:r>
      <w:proofErr w:type="spellStart"/>
      <w:r w:rsidRPr="00E96A62">
        <w:rPr>
          <w:rFonts w:ascii="Times New Roman" w:eastAsia="Arial Unicode MS" w:hAnsi="Times New Roman"/>
          <w:i/>
          <w:iCs/>
          <w:sz w:val="20"/>
          <w:szCs w:val="24"/>
        </w:rPr>
        <w:t>abyssinica.</w:t>
      </w:r>
      <w:proofErr w:type="spellEnd"/>
    </w:p>
    <w:p w:rsidR="0058361B" w:rsidRDefault="00FC53FC" w:rsidP="0058361B">
      <w:pPr>
        <w:shd w:val="clear" w:color="auto" w:fill="FFFFFF"/>
        <w:spacing w:line="240" w:lineRule="auto"/>
        <w:jc w:val="both"/>
        <w:textAlignment w:val="baseline"/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</w:pPr>
      <w:r w:rsidRPr="00E96A62">
        <w:rPr>
          <w:rFonts w:ascii="Times New Roman" w:eastAsia="Arial Unicode MS" w:hAnsi="Times New Roman"/>
          <w:b/>
          <w:sz w:val="20"/>
          <w:szCs w:val="24"/>
        </w:rPr>
        <w:t xml:space="preserve">Keywords: </w:t>
      </w:r>
      <w:r w:rsidRPr="00E96A62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 xml:space="preserve">Center for </w:t>
      </w:r>
      <w:r w:rsidR="00054E6F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>i</w:t>
      </w:r>
      <w:r w:rsidRPr="00E96A62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 xml:space="preserve">ndigenous </w:t>
      </w:r>
      <w:r w:rsidR="00054E6F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>t</w:t>
      </w:r>
      <w:r w:rsidRPr="00E96A62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>rees</w:t>
      </w:r>
      <w:r w:rsidR="00054E6F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>,</w:t>
      </w:r>
      <w:r w:rsidRPr="00E96A62">
        <w:rPr>
          <w:rFonts w:ascii="Times New Roman" w:eastAsia="Arial Unicode MS" w:hAnsi="Times New Roman"/>
          <w:sz w:val="20"/>
          <w:szCs w:val="24"/>
        </w:rPr>
        <w:t> </w:t>
      </w:r>
      <w:r w:rsidRPr="00E96A62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>Highlands</w:t>
      </w:r>
      <w:r w:rsidR="00054E6F">
        <w:rPr>
          <w:rFonts w:ascii="Times New Roman" w:eastAsia="Arial Unicode MS" w:hAnsi="Times New Roman"/>
          <w:sz w:val="20"/>
          <w:szCs w:val="24"/>
        </w:rPr>
        <w:t>,</w:t>
      </w:r>
      <w:r w:rsidR="006B2002" w:rsidRPr="00E96A62">
        <w:rPr>
          <w:rFonts w:ascii="Times New Roman" w:eastAsia="Arial Unicode MS" w:hAnsi="Times New Roman"/>
          <w:sz w:val="20"/>
          <w:szCs w:val="24"/>
        </w:rPr>
        <w:t xml:space="preserve"> </w:t>
      </w:r>
      <w:r w:rsidRPr="00E96A62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>Mountainous region</w:t>
      </w:r>
      <w:r w:rsidR="00054E6F">
        <w:rPr>
          <w:rFonts w:ascii="Times New Roman" w:eastAsia="Arial Unicode MS" w:hAnsi="Times New Roman"/>
          <w:sz w:val="20"/>
          <w:szCs w:val="24"/>
        </w:rPr>
        <w:t>,</w:t>
      </w:r>
      <w:r w:rsidR="006B2002" w:rsidRPr="00E96A62">
        <w:rPr>
          <w:rFonts w:ascii="Times New Roman" w:eastAsia="Arial Unicode MS" w:hAnsi="Times New Roman"/>
          <w:sz w:val="20"/>
          <w:szCs w:val="24"/>
        </w:rPr>
        <w:t xml:space="preserve"> </w:t>
      </w:r>
      <w:r w:rsidRPr="00E96A62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>Soil fertility</w:t>
      </w:r>
      <w:r w:rsidR="00054E6F">
        <w:rPr>
          <w:rFonts w:ascii="Times New Roman" w:eastAsia="Arial Unicode MS" w:hAnsi="Times New Roman"/>
          <w:sz w:val="20"/>
          <w:szCs w:val="24"/>
        </w:rPr>
        <w:t>,</w:t>
      </w:r>
      <w:r w:rsidRPr="00E96A62">
        <w:rPr>
          <w:rFonts w:ascii="Times New Roman" w:eastAsia="Arial Unicode MS" w:hAnsi="Times New Roman"/>
          <w:sz w:val="20"/>
          <w:szCs w:val="24"/>
        </w:rPr>
        <w:t> </w:t>
      </w:r>
      <w:r w:rsidRPr="00E96A62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>Tulu–Korma</w:t>
      </w:r>
      <w:r w:rsidR="00054E6F">
        <w:rPr>
          <w:rFonts w:ascii="Times New Roman" w:eastAsia="Arial Unicode MS" w:hAnsi="Times New Roman"/>
          <w:sz w:val="20"/>
          <w:szCs w:val="24"/>
        </w:rPr>
        <w:t xml:space="preserve">, </w:t>
      </w:r>
      <w:proofErr w:type="spellStart"/>
      <w:r w:rsidRPr="00E96A62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>Stecklings</w:t>
      </w:r>
      <w:proofErr w:type="spellEnd"/>
      <w:r w:rsidR="00054E6F">
        <w:rPr>
          <w:rFonts w:ascii="Times New Roman" w:eastAsia="Arial Unicode MS" w:hAnsi="Times New Roman"/>
          <w:sz w:val="20"/>
          <w:szCs w:val="24"/>
          <w:bdr w:val="none" w:sz="0" w:space="0" w:color="auto" w:frame="1"/>
        </w:rPr>
        <w:t>.</w:t>
      </w:r>
    </w:p>
    <w:p w:rsidR="00FC53FC" w:rsidRPr="0058361B" w:rsidRDefault="0058361B" w:rsidP="0058361B">
      <w:pPr>
        <w:shd w:val="clear" w:color="auto" w:fill="FFFFFF"/>
        <w:spacing w:line="240" w:lineRule="auto"/>
        <w:textAlignment w:val="baseline"/>
        <w:rPr>
          <w:rFonts w:ascii="Times New Roman" w:eastAsia="Arial Unicode MS" w:hAnsi="Times New Roman"/>
          <w:b/>
          <w:i/>
          <w:iCs/>
          <w:sz w:val="20"/>
          <w:szCs w:val="24"/>
        </w:rPr>
      </w:pPr>
      <w:commentRangeStart w:id="2"/>
      <w:r w:rsidRPr="0058361B">
        <w:rPr>
          <w:rFonts w:ascii="Times New Roman" w:eastAsia="Arial Unicode MS" w:hAnsi="Times New Roman"/>
          <w:b/>
          <w:sz w:val="24"/>
          <w:szCs w:val="24"/>
          <w:bdr w:val="none" w:sz="0" w:space="0" w:color="auto" w:frame="1"/>
        </w:rPr>
        <w:t>Biography</w:t>
      </w:r>
      <w:commentRangeEnd w:id="2"/>
      <w:r>
        <w:rPr>
          <w:rStyle w:val="CommentReference"/>
        </w:rPr>
        <w:commentReference w:id="2"/>
      </w:r>
      <w:r w:rsidRPr="0058361B">
        <w:rPr>
          <w:rFonts w:ascii="Times New Roman" w:eastAsia="Arial Unicode MS" w:hAnsi="Times New Roman"/>
          <w:b/>
          <w:sz w:val="20"/>
          <w:szCs w:val="24"/>
          <w:bdr w:val="none" w:sz="0" w:space="0" w:color="auto" w:frame="1"/>
        </w:rPr>
        <w:br/>
      </w:r>
    </w:p>
    <w:p w:rsidR="003776EC" w:rsidRPr="00E96A62" w:rsidRDefault="003776EC" w:rsidP="0058361B"/>
    <w:sectPr w:rsidR="003776EC" w:rsidRPr="00E96A62" w:rsidSect="00253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01T12:50:00Z" w:initials="SS">
    <w:p w:rsidR="00832602" w:rsidRDefault="00832602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832602" w:rsidRDefault="00832602">
      <w:pPr>
        <w:pStyle w:val="CommentText"/>
      </w:pPr>
    </w:p>
    <w:p w:rsidR="00832602" w:rsidRDefault="00832602" w:rsidP="00832602">
      <w:pPr>
        <w:pStyle w:val="CommentText"/>
        <w:numPr>
          <w:ilvl w:val="0"/>
          <w:numId w:val="3"/>
        </w:numPr>
      </w:pPr>
      <w:hyperlink r:id="rId1" w:history="1">
        <w:r w:rsidRPr="00F70FF6">
          <w:rPr>
            <w:rStyle w:val="Hyperlink"/>
          </w:rPr>
          <w:t>https://www.sciencedirect.com/science/article/abs/pii/S037811271300577X</w:t>
        </w:r>
      </w:hyperlink>
    </w:p>
    <w:p w:rsidR="00832602" w:rsidRDefault="00832602" w:rsidP="00832602">
      <w:pPr>
        <w:pStyle w:val="CommentText"/>
        <w:numPr>
          <w:ilvl w:val="0"/>
          <w:numId w:val="3"/>
        </w:numPr>
      </w:pPr>
      <w:hyperlink r:id="rId2" w:history="1">
        <w:r w:rsidRPr="00F70FF6">
          <w:rPr>
            <w:rStyle w:val="Hyperlink"/>
          </w:rPr>
          <w:t>https://agu.confex.com/agu/16chapman3/webprogram/Paper94628.html</w:t>
        </w:r>
      </w:hyperlink>
    </w:p>
    <w:p w:rsidR="00832602" w:rsidRDefault="00832602" w:rsidP="00832602">
      <w:pPr>
        <w:pStyle w:val="CommentText"/>
        <w:numPr>
          <w:ilvl w:val="0"/>
          <w:numId w:val="3"/>
        </w:numPr>
      </w:pPr>
      <w:hyperlink r:id="rId3" w:history="1">
        <w:r w:rsidRPr="00F70FF6">
          <w:rPr>
            <w:rStyle w:val="Hyperlink"/>
          </w:rPr>
          <w:t>https://www.researchgate.net/publication/258108208_Mechanisms_for_the_successful_biological_restoration_of_the_threatened_African_pencilcedar_Juniperus_procera_Hochst_ex_Endl_Cupressaceae_in_a_degraded_landscape</w:t>
        </w:r>
      </w:hyperlink>
    </w:p>
    <w:p w:rsidR="00832602" w:rsidRDefault="00832602" w:rsidP="00832602">
      <w:pPr>
        <w:pStyle w:val="CommentText"/>
        <w:numPr>
          <w:ilvl w:val="0"/>
          <w:numId w:val="3"/>
        </w:numPr>
      </w:pPr>
      <w:hyperlink r:id="rId4" w:history="1">
        <w:r w:rsidRPr="00F70FF6">
          <w:rPr>
            <w:rStyle w:val="Hyperlink"/>
          </w:rPr>
          <w:t>https://agris.fao.org/agris-search/search.do?recordID=US201900130671</w:t>
        </w:r>
      </w:hyperlink>
    </w:p>
    <w:p w:rsidR="00832602" w:rsidRDefault="00832602" w:rsidP="00832602">
      <w:pPr>
        <w:pStyle w:val="CommentText"/>
        <w:numPr>
          <w:ilvl w:val="0"/>
          <w:numId w:val="3"/>
        </w:numPr>
      </w:pPr>
      <w:hyperlink r:id="rId5" w:history="1">
        <w:r w:rsidRPr="00F70FF6">
          <w:rPr>
            <w:rStyle w:val="Hyperlink"/>
          </w:rPr>
          <w:t>https://www.semanticscholar.org/paper/Mechanisms-for-the-successful-biological-of-the-ex.-Negash-Kagnew/aca52b2f87a251944cb05b495747d1a093b208a9</w:t>
        </w:r>
      </w:hyperlink>
    </w:p>
    <w:p w:rsidR="00832602" w:rsidRDefault="00832602" w:rsidP="00832602">
      <w:pPr>
        <w:pStyle w:val="CommentText"/>
      </w:pPr>
    </w:p>
  </w:comment>
  <w:comment w:id="2" w:author="Swetha Sandala" w:date="2022-07-01T12:48:00Z" w:initials="SS">
    <w:p w:rsidR="0058361B" w:rsidRDefault="0058361B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15E03"/>
    <w:multiLevelType w:val="hybridMultilevel"/>
    <w:tmpl w:val="5C3CFFC0"/>
    <w:lvl w:ilvl="0" w:tplc="A32C65EA">
      <w:start w:val="1"/>
      <w:numFmt w:val="decimal"/>
      <w:lvlText w:val="%1."/>
      <w:lvlJc w:val="left"/>
      <w:pPr>
        <w:ind w:left="8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6" w:hanging="360"/>
      </w:pPr>
    </w:lvl>
    <w:lvl w:ilvl="2" w:tplc="0409001B" w:tentative="1">
      <w:start w:val="1"/>
      <w:numFmt w:val="lowerRoman"/>
      <w:lvlText w:val="%3."/>
      <w:lvlJc w:val="right"/>
      <w:pPr>
        <w:ind w:left="2316" w:hanging="180"/>
      </w:pPr>
    </w:lvl>
    <w:lvl w:ilvl="3" w:tplc="0409000F" w:tentative="1">
      <w:start w:val="1"/>
      <w:numFmt w:val="decimal"/>
      <w:lvlText w:val="%4."/>
      <w:lvlJc w:val="left"/>
      <w:pPr>
        <w:ind w:left="3036" w:hanging="360"/>
      </w:pPr>
    </w:lvl>
    <w:lvl w:ilvl="4" w:tplc="04090019" w:tentative="1">
      <w:start w:val="1"/>
      <w:numFmt w:val="lowerLetter"/>
      <w:lvlText w:val="%5."/>
      <w:lvlJc w:val="left"/>
      <w:pPr>
        <w:ind w:left="3756" w:hanging="360"/>
      </w:pPr>
    </w:lvl>
    <w:lvl w:ilvl="5" w:tplc="0409001B" w:tentative="1">
      <w:start w:val="1"/>
      <w:numFmt w:val="lowerRoman"/>
      <w:lvlText w:val="%6."/>
      <w:lvlJc w:val="right"/>
      <w:pPr>
        <w:ind w:left="4476" w:hanging="180"/>
      </w:pPr>
    </w:lvl>
    <w:lvl w:ilvl="6" w:tplc="0409000F" w:tentative="1">
      <w:start w:val="1"/>
      <w:numFmt w:val="decimal"/>
      <w:lvlText w:val="%7."/>
      <w:lvlJc w:val="left"/>
      <w:pPr>
        <w:ind w:left="5196" w:hanging="360"/>
      </w:pPr>
    </w:lvl>
    <w:lvl w:ilvl="7" w:tplc="04090019" w:tentative="1">
      <w:start w:val="1"/>
      <w:numFmt w:val="lowerLetter"/>
      <w:lvlText w:val="%8."/>
      <w:lvlJc w:val="left"/>
      <w:pPr>
        <w:ind w:left="5916" w:hanging="360"/>
      </w:pPr>
    </w:lvl>
    <w:lvl w:ilvl="8" w:tplc="040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">
    <w:nsid w:val="1E880383"/>
    <w:multiLevelType w:val="hybridMultilevel"/>
    <w:tmpl w:val="BDB0A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A60652"/>
    <w:multiLevelType w:val="multilevel"/>
    <w:tmpl w:val="3202E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3FC"/>
    <w:rsid w:val="00054E6F"/>
    <w:rsid w:val="00110EDE"/>
    <w:rsid w:val="002532C1"/>
    <w:rsid w:val="002A59A0"/>
    <w:rsid w:val="003776EC"/>
    <w:rsid w:val="004916CB"/>
    <w:rsid w:val="0050081E"/>
    <w:rsid w:val="0058361B"/>
    <w:rsid w:val="006B2002"/>
    <w:rsid w:val="00832602"/>
    <w:rsid w:val="00837E8A"/>
    <w:rsid w:val="00844548"/>
    <w:rsid w:val="00960728"/>
    <w:rsid w:val="00BA5512"/>
    <w:rsid w:val="00BB6D87"/>
    <w:rsid w:val="00E96A62"/>
    <w:rsid w:val="00FC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3F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3FC"/>
    <w:pPr>
      <w:ind w:left="720"/>
      <w:contextualSpacing/>
    </w:pPr>
  </w:style>
  <w:style w:type="paragraph" w:styleId="NoSpacing">
    <w:name w:val="No Spacing"/>
    <w:uiPriority w:val="1"/>
    <w:qFormat/>
    <w:rsid w:val="0050081E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836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36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361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6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361B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61B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26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3F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3FC"/>
    <w:pPr>
      <w:ind w:left="720"/>
      <w:contextualSpacing/>
    </w:pPr>
  </w:style>
  <w:style w:type="paragraph" w:styleId="NoSpacing">
    <w:name w:val="No Spacing"/>
    <w:uiPriority w:val="1"/>
    <w:qFormat/>
    <w:rsid w:val="0050081E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836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36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361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6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361B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61B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26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searchgate.net/publication/258108208_Mechanisms_for_the_successful_biological_restoration_of_the_threatened_African_pencilcedar_Juniperus_procera_Hochst_ex_Endl_Cupressaceae_in_a_degraded_landscape" TargetMode="External"/><Relationship Id="rId2" Type="http://schemas.openxmlformats.org/officeDocument/2006/relationships/hyperlink" Target="https://agu.confex.com/agu/16chapman3/webprogram/Paper94628.html" TargetMode="External"/><Relationship Id="rId1" Type="http://schemas.openxmlformats.org/officeDocument/2006/relationships/hyperlink" Target="https://www.sciencedirect.com/science/article/abs/pii/S037811271300577X" TargetMode="External"/><Relationship Id="rId5" Type="http://schemas.openxmlformats.org/officeDocument/2006/relationships/hyperlink" Target="https://www.semanticscholar.org/paper/Mechanisms-for-the-successful-biological-of-the-ex.-Negash-Kagnew/aca52b2f87a251944cb05b495747d1a093b208a9" TargetMode="External"/><Relationship Id="rId4" Type="http://schemas.openxmlformats.org/officeDocument/2006/relationships/hyperlink" Target="https://agris.fao.org/agris-search/search.do?recordID=US201900130671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Swetha Sandala</cp:lastModifiedBy>
  <cp:revision>5</cp:revision>
  <dcterms:created xsi:type="dcterms:W3CDTF">2022-07-01T04:54:00Z</dcterms:created>
  <dcterms:modified xsi:type="dcterms:W3CDTF">2022-07-01T07:20:00Z</dcterms:modified>
</cp:coreProperties>
</file>