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9BB" w:rsidRPr="009E24A0" w:rsidRDefault="00542816" w:rsidP="009E24A0">
      <w:pPr>
        <w:rPr>
          <w:rFonts w:ascii="Times New Roman" w:hAnsi="Times New Roman" w:cs="Times New Roman"/>
          <w:b/>
          <w:sz w:val="32"/>
          <w:szCs w:val="24"/>
        </w:rPr>
      </w:pPr>
      <w:bookmarkStart w:id="0" w:name="_GoBack"/>
      <w:r w:rsidRPr="009E24A0">
        <w:rPr>
          <w:rFonts w:ascii="Times New Roman" w:hAnsi="Times New Roman" w:cs="Times New Roman"/>
          <w:b/>
          <w:sz w:val="32"/>
          <w:szCs w:val="24"/>
        </w:rPr>
        <w:t xml:space="preserve">Ameliorative </w:t>
      </w:r>
      <w:r w:rsidR="009E24A0" w:rsidRPr="009E24A0">
        <w:rPr>
          <w:rFonts w:ascii="Times New Roman" w:hAnsi="Times New Roman" w:cs="Times New Roman"/>
          <w:b/>
          <w:sz w:val="32"/>
          <w:szCs w:val="24"/>
        </w:rPr>
        <w:t xml:space="preserve">effect </w:t>
      </w:r>
      <w:r w:rsidRPr="009E24A0">
        <w:rPr>
          <w:rFonts w:ascii="Times New Roman" w:hAnsi="Times New Roman" w:cs="Times New Roman"/>
          <w:b/>
          <w:sz w:val="32"/>
          <w:szCs w:val="24"/>
        </w:rPr>
        <w:t xml:space="preserve">of </w:t>
      </w:r>
      <w:r w:rsidRPr="009E24A0">
        <w:rPr>
          <w:rFonts w:ascii="Times New Roman" w:hAnsi="Times New Roman" w:cs="Times New Roman"/>
          <w:b/>
          <w:i/>
          <w:sz w:val="32"/>
          <w:szCs w:val="24"/>
        </w:rPr>
        <w:t>MHB-21</w:t>
      </w:r>
      <w:r w:rsidRPr="009E24A0">
        <w:rPr>
          <w:rFonts w:ascii="Times New Roman" w:hAnsi="Times New Roman" w:cs="Times New Roman"/>
          <w:b/>
          <w:sz w:val="32"/>
          <w:szCs w:val="24"/>
        </w:rPr>
        <w:t xml:space="preserve"> on </w:t>
      </w:r>
      <w:proofErr w:type="spellStart"/>
      <w:r w:rsidR="009E24A0" w:rsidRPr="009E24A0">
        <w:rPr>
          <w:rFonts w:ascii="Times New Roman" w:hAnsi="Times New Roman" w:cs="Times New Roman"/>
          <w:b/>
          <w:sz w:val="32"/>
          <w:szCs w:val="24"/>
        </w:rPr>
        <w:t>cisplatin</w:t>
      </w:r>
      <w:proofErr w:type="spellEnd"/>
      <w:r w:rsidR="009E24A0">
        <w:rPr>
          <w:rFonts w:ascii="Times New Roman" w:hAnsi="Times New Roman" w:cs="Times New Roman"/>
          <w:b/>
          <w:sz w:val="32"/>
          <w:szCs w:val="24"/>
        </w:rPr>
        <w:t>-induced hepatotoxicity in rats</w:t>
      </w:r>
    </w:p>
    <w:p w:rsidR="006B79BB" w:rsidRPr="009E24A0" w:rsidRDefault="009E24A0" w:rsidP="009E24A0">
      <w:pPr>
        <w:rPr>
          <w:rFonts w:ascii="Times New Roman" w:hAnsi="Times New Roman" w:cs="Times New Roman"/>
          <w:sz w:val="24"/>
          <w:szCs w:val="24"/>
        </w:rPr>
      </w:pPr>
      <w:proofErr w:type="spellStart"/>
      <w:r>
        <w:rPr>
          <w:rFonts w:ascii="Times New Roman" w:hAnsi="Times New Roman" w:cs="Times New Roman"/>
          <w:sz w:val="24"/>
          <w:szCs w:val="24"/>
        </w:rPr>
        <w:t>Josephat</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Onwusonye</w:t>
      </w:r>
      <w:proofErr w:type="spellEnd"/>
    </w:p>
    <w:p w:rsidR="00542816" w:rsidRPr="009E24A0" w:rsidRDefault="00DA47A3" w:rsidP="009E24A0">
      <w:pPr>
        <w:rPr>
          <w:rFonts w:ascii="Times New Roman" w:hAnsi="Times New Roman" w:cs="Times New Roman"/>
          <w:szCs w:val="24"/>
        </w:rPr>
      </w:pPr>
      <w:r w:rsidRPr="00DA47A3">
        <w:rPr>
          <w:rFonts w:ascii="Times New Roman" w:hAnsi="Times New Roman" w:cs="Times New Roman"/>
          <w:szCs w:val="24"/>
        </w:rPr>
        <w:t>Federal Polytechnic</w:t>
      </w:r>
      <w:r w:rsidR="006B79BB" w:rsidRPr="009E24A0">
        <w:rPr>
          <w:rFonts w:ascii="Times New Roman" w:hAnsi="Times New Roman" w:cs="Times New Roman"/>
          <w:szCs w:val="24"/>
        </w:rPr>
        <w:t xml:space="preserve">, </w:t>
      </w:r>
      <w:r w:rsidR="009E24A0" w:rsidRPr="009E24A0">
        <w:rPr>
          <w:rFonts w:ascii="Times New Roman" w:hAnsi="Times New Roman" w:cs="Times New Roman"/>
          <w:szCs w:val="24"/>
        </w:rPr>
        <w:t>Nigeria</w:t>
      </w:r>
    </w:p>
    <w:p w:rsidR="00542816" w:rsidRPr="009E24A0" w:rsidRDefault="009E24A0" w:rsidP="009E24A0">
      <w:pPr>
        <w:jc w:val="center"/>
        <w:rPr>
          <w:rFonts w:ascii="Times New Roman" w:hAnsi="Times New Roman" w:cs="Times New Roman"/>
          <w:b/>
          <w:sz w:val="24"/>
          <w:szCs w:val="24"/>
        </w:rPr>
      </w:pPr>
      <w:r w:rsidRPr="009E24A0">
        <w:rPr>
          <w:rFonts w:ascii="Times New Roman" w:hAnsi="Times New Roman" w:cs="Times New Roman"/>
          <w:b/>
          <w:sz w:val="24"/>
          <w:szCs w:val="24"/>
        </w:rPr>
        <w:t>Abstract</w:t>
      </w:r>
    </w:p>
    <w:p w:rsidR="00542816" w:rsidRPr="009E24A0" w:rsidRDefault="00542816" w:rsidP="009E24A0">
      <w:pPr>
        <w:jc w:val="both"/>
        <w:rPr>
          <w:rFonts w:ascii="Times New Roman" w:hAnsi="Times New Roman" w:cs="Times New Roman"/>
          <w:color w:val="000000" w:themeColor="text1"/>
          <w:sz w:val="20"/>
          <w:szCs w:val="24"/>
        </w:rPr>
      </w:pPr>
      <w:r w:rsidRPr="009E24A0">
        <w:rPr>
          <w:rFonts w:ascii="Times New Roman" w:hAnsi="Times New Roman" w:cs="Times New Roman"/>
          <w:color w:val="000000" w:themeColor="text1"/>
          <w:sz w:val="20"/>
          <w:szCs w:val="24"/>
        </w:rPr>
        <w:t xml:space="preserve">The rising cases of human liver diseases in the face of continued increase in the cost of standard drugs required for their management have left man with no other choice than to divert appreciable attention towards the direction of alternative medicine. In the present study, the effect of a novel herbal formula called </w:t>
      </w:r>
      <w:r w:rsidRPr="009E24A0">
        <w:rPr>
          <w:rFonts w:ascii="Times New Roman" w:hAnsi="Times New Roman" w:cs="Times New Roman"/>
          <w:i/>
          <w:color w:val="000000" w:themeColor="text1"/>
          <w:sz w:val="20"/>
          <w:szCs w:val="24"/>
        </w:rPr>
        <w:t>MHB-21</w:t>
      </w:r>
      <w:r w:rsidR="009E24A0">
        <w:rPr>
          <w:rFonts w:ascii="Times New Roman" w:hAnsi="Times New Roman" w:cs="Times New Roman"/>
          <w:color w:val="000000" w:themeColor="text1"/>
          <w:sz w:val="20"/>
          <w:szCs w:val="24"/>
        </w:rPr>
        <w:t xml:space="preserve"> on </w:t>
      </w:r>
      <w:proofErr w:type="spellStart"/>
      <w:r w:rsidR="009E24A0">
        <w:rPr>
          <w:rFonts w:ascii="Times New Roman" w:hAnsi="Times New Roman" w:cs="Times New Roman"/>
          <w:color w:val="000000" w:themeColor="text1"/>
          <w:sz w:val="20"/>
          <w:szCs w:val="24"/>
        </w:rPr>
        <w:t>cisplatin</w:t>
      </w:r>
      <w:proofErr w:type="spellEnd"/>
      <w:r w:rsidRPr="009E24A0">
        <w:rPr>
          <w:rFonts w:ascii="Times New Roman" w:hAnsi="Times New Roman" w:cs="Times New Roman"/>
          <w:color w:val="000000" w:themeColor="text1"/>
          <w:sz w:val="20"/>
          <w:szCs w:val="24"/>
        </w:rPr>
        <w:t>–induced hepatic damage in rats was studied. Twenty adult male albino rats were used in the study. At the start of experiment, the rats were distributed into 5 groups (n=4). Rats in group 1 which served as normal control were maintained on feed and wate</w:t>
      </w:r>
      <w:r w:rsidR="009E24A0">
        <w:rPr>
          <w:rFonts w:ascii="Times New Roman" w:hAnsi="Times New Roman" w:cs="Times New Roman"/>
          <w:color w:val="000000" w:themeColor="text1"/>
          <w:sz w:val="20"/>
          <w:szCs w:val="24"/>
        </w:rPr>
        <w:t>r only while those in groups 2-</w:t>
      </w:r>
      <w:r w:rsidRPr="009E24A0">
        <w:rPr>
          <w:rFonts w:ascii="Times New Roman" w:hAnsi="Times New Roman" w:cs="Times New Roman"/>
          <w:color w:val="000000" w:themeColor="text1"/>
          <w:sz w:val="20"/>
          <w:szCs w:val="24"/>
        </w:rPr>
        <w:t>5 were subjected to hepatotoxicity induction through a single intraperitoneal injection of cisplatin at the dose of 5</w:t>
      </w:r>
      <w:r w:rsidR="009E24A0">
        <w:rPr>
          <w:rFonts w:ascii="Times New Roman" w:hAnsi="Times New Roman" w:cs="Times New Roman"/>
          <w:color w:val="000000" w:themeColor="text1"/>
          <w:sz w:val="20"/>
          <w:szCs w:val="24"/>
        </w:rPr>
        <w:t xml:space="preserve"> </w:t>
      </w:r>
      <w:r w:rsidRPr="009E24A0">
        <w:rPr>
          <w:rFonts w:ascii="Times New Roman" w:hAnsi="Times New Roman" w:cs="Times New Roman"/>
          <w:color w:val="000000" w:themeColor="text1"/>
          <w:sz w:val="20"/>
          <w:szCs w:val="24"/>
        </w:rPr>
        <w:t>mg/kg body weight. After this, rats in groups 1 and 2 were maintained on w</w:t>
      </w:r>
      <w:r w:rsidR="009E24A0">
        <w:rPr>
          <w:rFonts w:ascii="Times New Roman" w:hAnsi="Times New Roman" w:cs="Times New Roman"/>
          <w:color w:val="000000" w:themeColor="text1"/>
          <w:sz w:val="20"/>
          <w:szCs w:val="24"/>
        </w:rPr>
        <w:t>ater while those in groups 3</w:t>
      </w:r>
      <w:proofErr w:type="gramStart"/>
      <w:r w:rsidR="009E24A0">
        <w:rPr>
          <w:rFonts w:ascii="Times New Roman" w:hAnsi="Times New Roman" w:cs="Times New Roman"/>
          <w:color w:val="000000" w:themeColor="text1"/>
          <w:sz w:val="20"/>
          <w:szCs w:val="24"/>
        </w:rPr>
        <w:t>,4</w:t>
      </w:r>
      <w:proofErr w:type="gramEnd"/>
      <w:r w:rsidRPr="009E24A0">
        <w:rPr>
          <w:rFonts w:ascii="Times New Roman" w:hAnsi="Times New Roman" w:cs="Times New Roman"/>
          <w:color w:val="000000" w:themeColor="text1"/>
          <w:sz w:val="20"/>
          <w:szCs w:val="24"/>
        </w:rPr>
        <w:t xml:space="preserve"> and 5 were treated with </w:t>
      </w:r>
      <w:r w:rsidRPr="009E24A0">
        <w:rPr>
          <w:rFonts w:ascii="Times New Roman" w:hAnsi="Times New Roman" w:cs="Times New Roman"/>
          <w:i/>
          <w:color w:val="000000" w:themeColor="text1"/>
          <w:sz w:val="20"/>
          <w:szCs w:val="24"/>
        </w:rPr>
        <w:t>MHB-21</w:t>
      </w:r>
      <w:r w:rsidRPr="009E24A0">
        <w:rPr>
          <w:rFonts w:ascii="Times New Roman" w:hAnsi="Times New Roman" w:cs="Times New Roman"/>
          <w:color w:val="000000" w:themeColor="text1"/>
          <w:sz w:val="20"/>
          <w:szCs w:val="24"/>
        </w:rPr>
        <w:t xml:space="preserve"> a</w:t>
      </w:r>
      <w:r w:rsidR="009E24A0">
        <w:rPr>
          <w:rFonts w:ascii="Times New Roman" w:hAnsi="Times New Roman" w:cs="Times New Roman"/>
          <w:color w:val="000000" w:themeColor="text1"/>
          <w:sz w:val="20"/>
          <w:szCs w:val="24"/>
        </w:rPr>
        <w:t>t respective oral doses of 400,</w:t>
      </w:r>
      <w:r w:rsidRPr="009E24A0">
        <w:rPr>
          <w:rFonts w:ascii="Times New Roman" w:hAnsi="Times New Roman" w:cs="Times New Roman"/>
          <w:color w:val="000000" w:themeColor="text1"/>
          <w:sz w:val="20"/>
          <w:szCs w:val="24"/>
        </w:rPr>
        <w:t xml:space="preserve">600 and 800 mg/kg body weight. Twenty four hours after a two week treatment period, the rats were sacrificed. Blood samples were taken for evaluation of serum aspartate aminotransferase (AST), alanine aminotransferase (ALT), alkaline phosphatase (ALP) and total Protein. Liver samples were excised and fixed with 4% formaldehyde for histological investigations. From the results, it was observed that </w:t>
      </w:r>
      <w:r w:rsidRPr="009E24A0">
        <w:rPr>
          <w:rFonts w:ascii="Times New Roman" w:hAnsi="Times New Roman" w:cs="Times New Roman"/>
          <w:i/>
          <w:color w:val="000000" w:themeColor="text1"/>
          <w:sz w:val="20"/>
          <w:szCs w:val="24"/>
        </w:rPr>
        <w:t>MHB-21</w:t>
      </w:r>
      <w:r w:rsidRPr="009E24A0">
        <w:rPr>
          <w:rFonts w:ascii="Times New Roman" w:hAnsi="Times New Roman" w:cs="Times New Roman"/>
          <w:color w:val="000000" w:themeColor="text1"/>
          <w:sz w:val="20"/>
          <w:szCs w:val="24"/>
        </w:rPr>
        <w:t xml:space="preserve"> reduced the serum activities of AST, ALT and ALP in a dose-dependent manner. For instance, at the highest </w:t>
      </w:r>
      <w:r w:rsidRPr="009E24A0">
        <w:rPr>
          <w:rFonts w:ascii="Times New Roman" w:hAnsi="Times New Roman" w:cs="Times New Roman"/>
          <w:i/>
          <w:color w:val="000000" w:themeColor="text1"/>
          <w:sz w:val="20"/>
          <w:szCs w:val="24"/>
        </w:rPr>
        <w:t>MHB-21</w:t>
      </w:r>
      <w:r w:rsidRPr="009E24A0">
        <w:rPr>
          <w:rFonts w:ascii="Times New Roman" w:hAnsi="Times New Roman" w:cs="Times New Roman"/>
          <w:color w:val="000000" w:themeColor="text1"/>
          <w:sz w:val="20"/>
          <w:szCs w:val="24"/>
        </w:rPr>
        <w:t xml:space="preserve"> dose of 800</w:t>
      </w:r>
      <w:r w:rsidR="009E24A0">
        <w:rPr>
          <w:rFonts w:ascii="Times New Roman" w:hAnsi="Times New Roman" w:cs="Times New Roman"/>
          <w:color w:val="000000" w:themeColor="text1"/>
          <w:sz w:val="20"/>
          <w:szCs w:val="24"/>
        </w:rPr>
        <w:t xml:space="preserve"> </w:t>
      </w:r>
      <w:r w:rsidRPr="009E24A0">
        <w:rPr>
          <w:rFonts w:ascii="Times New Roman" w:hAnsi="Times New Roman" w:cs="Times New Roman"/>
          <w:color w:val="000000" w:themeColor="text1"/>
          <w:sz w:val="20"/>
          <w:szCs w:val="24"/>
        </w:rPr>
        <w:t>mg/kg body weight, the values recorded for the three enzymes were 72.95 ± 0.90</w:t>
      </w:r>
      <w:r w:rsidRPr="009E24A0">
        <w:rPr>
          <w:rFonts w:ascii="Times New Roman" w:hAnsi="Times New Roman" w:cs="Times New Roman"/>
          <w:color w:val="000000" w:themeColor="text1"/>
          <w:sz w:val="20"/>
          <w:szCs w:val="24"/>
          <w:vertAlign w:val="superscript"/>
        </w:rPr>
        <w:t xml:space="preserve"> </w:t>
      </w:r>
      <w:r w:rsidR="006B79BB" w:rsidRPr="009E24A0">
        <w:rPr>
          <w:rFonts w:ascii="Times New Roman" w:hAnsi="Times New Roman" w:cs="Times New Roman"/>
          <w:color w:val="000000" w:themeColor="text1"/>
          <w:sz w:val="20"/>
          <w:szCs w:val="24"/>
        </w:rPr>
        <w:t>i.e</w:t>
      </w:r>
      <w:proofErr w:type="gramStart"/>
      <w:r w:rsidR="006B79BB" w:rsidRPr="009E24A0">
        <w:rPr>
          <w:rFonts w:ascii="Times New Roman" w:hAnsi="Times New Roman" w:cs="Times New Roman"/>
          <w:color w:val="000000" w:themeColor="text1"/>
          <w:sz w:val="20"/>
          <w:szCs w:val="24"/>
        </w:rPr>
        <w:t>.</w:t>
      </w:r>
      <w:r w:rsidRPr="009E24A0">
        <w:rPr>
          <w:rFonts w:ascii="Times New Roman" w:hAnsi="Times New Roman" w:cs="Times New Roman"/>
          <w:color w:val="000000" w:themeColor="text1"/>
          <w:sz w:val="20"/>
          <w:szCs w:val="24"/>
        </w:rPr>
        <w:t>/</w:t>
      </w:r>
      <w:proofErr w:type="gramEnd"/>
      <w:r w:rsidRPr="009E24A0">
        <w:rPr>
          <w:rFonts w:ascii="Times New Roman" w:hAnsi="Times New Roman" w:cs="Times New Roman"/>
          <w:color w:val="000000" w:themeColor="text1"/>
          <w:sz w:val="20"/>
          <w:szCs w:val="24"/>
        </w:rPr>
        <w:t xml:space="preserve">L, 45.0 ± 0.83 i.u/L and 190.0 ± 2.00 </w:t>
      </w:r>
      <w:r w:rsidR="006B79BB" w:rsidRPr="009E24A0">
        <w:rPr>
          <w:rFonts w:ascii="Times New Roman" w:hAnsi="Times New Roman" w:cs="Times New Roman"/>
          <w:color w:val="000000" w:themeColor="text1"/>
          <w:sz w:val="20"/>
          <w:szCs w:val="24"/>
        </w:rPr>
        <w:t>i.e.</w:t>
      </w:r>
      <w:r w:rsidRPr="009E24A0">
        <w:rPr>
          <w:rFonts w:ascii="Times New Roman" w:hAnsi="Times New Roman" w:cs="Times New Roman"/>
          <w:color w:val="000000" w:themeColor="text1"/>
          <w:sz w:val="20"/>
          <w:szCs w:val="24"/>
        </w:rPr>
        <w:t xml:space="preserve">/L. The herbal </w:t>
      </w:r>
      <w:r w:rsidR="006B79BB" w:rsidRPr="009E24A0">
        <w:rPr>
          <w:rFonts w:ascii="Times New Roman" w:hAnsi="Times New Roman" w:cs="Times New Roman"/>
          <w:color w:val="000000" w:themeColor="text1"/>
          <w:sz w:val="20"/>
          <w:szCs w:val="24"/>
        </w:rPr>
        <w:t>formula however, increases</w:t>
      </w:r>
      <w:r w:rsidRPr="009E24A0">
        <w:rPr>
          <w:rFonts w:ascii="Times New Roman" w:hAnsi="Times New Roman" w:cs="Times New Roman"/>
          <w:color w:val="000000" w:themeColor="text1"/>
          <w:sz w:val="20"/>
          <w:szCs w:val="24"/>
        </w:rPr>
        <w:t xml:space="preserve"> the values of serum total protein in a dose-dependent manner with the highest </w:t>
      </w:r>
      <w:r w:rsidR="006B79BB" w:rsidRPr="009E24A0">
        <w:rPr>
          <w:rFonts w:ascii="Times New Roman" w:hAnsi="Times New Roman" w:cs="Times New Roman"/>
          <w:color w:val="000000" w:themeColor="text1"/>
          <w:sz w:val="20"/>
          <w:szCs w:val="24"/>
        </w:rPr>
        <w:t>value</w:t>
      </w:r>
      <w:r w:rsidRPr="009E24A0">
        <w:rPr>
          <w:rFonts w:ascii="Times New Roman" w:hAnsi="Times New Roman" w:cs="Times New Roman"/>
          <w:color w:val="000000" w:themeColor="text1"/>
          <w:sz w:val="20"/>
          <w:szCs w:val="24"/>
        </w:rPr>
        <w:t xml:space="preserve"> of 9.0 ± 0.10</w:t>
      </w:r>
      <w:r w:rsidRPr="009E24A0">
        <w:rPr>
          <w:rFonts w:ascii="Times New Roman" w:hAnsi="Times New Roman" w:cs="Times New Roman"/>
          <w:color w:val="000000" w:themeColor="text1"/>
          <w:sz w:val="20"/>
          <w:szCs w:val="24"/>
          <w:vertAlign w:val="superscript"/>
        </w:rPr>
        <w:t xml:space="preserve"> </w:t>
      </w:r>
      <w:r w:rsidRPr="009E24A0">
        <w:rPr>
          <w:rFonts w:ascii="Times New Roman" w:hAnsi="Times New Roman" w:cs="Times New Roman"/>
          <w:color w:val="000000" w:themeColor="text1"/>
          <w:sz w:val="20"/>
          <w:szCs w:val="24"/>
        </w:rPr>
        <w:t xml:space="preserve">g/dl recorded when the highest dose was administered. Histology results showed that the rats in group 2, left untreated after the induction of toxicity developed severe distortion of the hepato-cellular features. Treatment with </w:t>
      </w:r>
      <w:r w:rsidRPr="009E24A0">
        <w:rPr>
          <w:rFonts w:ascii="Times New Roman" w:hAnsi="Times New Roman" w:cs="Times New Roman"/>
          <w:i/>
          <w:color w:val="000000" w:themeColor="text1"/>
          <w:sz w:val="20"/>
          <w:szCs w:val="24"/>
        </w:rPr>
        <w:t>MHB-21</w:t>
      </w:r>
      <w:r w:rsidRPr="009E24A0">
        <w:rPr>
          <w:rFonts w:ascii="Times New Roman" w:hAnsi="Times New Roman" w:cs="Times New Roman"/>
          <w:color w:val="000000" w:themeColor="text1"/>
          <w:sz w:val="20"/>
          <w:szCs w:val="24"/>
        </w:rPr>
        <w:t xml:space="preserve"> however brought about various degrees of improvement in the hepatocellular features, with the hepatic features of the rats in group 5 coming almost close to normal. It was therefore concluded that </w:t>
      </w:r>
      <w:r w:rsidRPr="009E24A0">
        <w:rPr>
          <w:rFonts w:ascii="Times New Roman" w:hAnsi="Times New Roman" w:cs="Times New Roman"/>
          <w:i/>
          <w:color w:val="000000" w:themeColor="text1"/>
          <w:sz w:val="20"/>
          <w:szCs w:val="24"/>
        </w:rPr>
        <w:t>MHB-21</w:t>
      </w:r>
      <w:r w:rsidRPr="009E24A0">
        <w:rPr>
          <w:rFonts w:ascii="Times New Roman" w:hAnsi="Times New Roman" w:cs="Times New Roman"/>
          <w:color w:val="000000" w:themeColor="text1"/>
          <w:sz w:val="20"/>
          <w:szCs w:val="24"/>
        </w:rPr>
        <w:t xml:space="preserve"> has the capacity to ameliorate cisplatin-induced hepatic damage in rats. The formula was therefore recommended for standardization for the treatment of liver diseases in man.</w:t>
      </w:r>
    </w:p>
    <w:p w:rsidR="00542816" w:rsidRDefault="00542816" w:rsidP="009E24A0">
      <w:pPr>
        <w:jc w:val="both"/>
        <w:rPr>
          <w:rFonts w:ascii="Times New Roman" w:hAnsi="Times New Roman" w:cs="Times New Roman"/>
          <w:color w:val="000000" w:themeColor="text1"/>
          <w:sz w:val="20"/>
          <w:szCs w:val="24"/>
        </w:rPr>
      </w:pPr>
      <w:r w:rsidRPr="009E24A0">
        <w:rPr>
          <w:rFonts w:ascii="Times New Roman" w:hAnsi="Times New Roman" w:cs="Times New Roman"/>
          <w:b/>
          <w:color w:val="000000" w:themeColor="text1"/>
          <w:sz w:val="20"/>
          <w:szCs w:val="24"/>
        </w:rPr>
        <w:t>Keywords:</w:t>
      </w:r>
      <w:r w:rsidR="009E24A0">
        <w:rPr>
          <w:rFonts w:ascii="Times New Roman" w:hAnsi="Times New Roman" w:cs="Times New Roman"/>
          <w:color w:val="000000" w:themeColor="text1"/>
          <w:sz w:val="20"/>
          <w:szCs w:val="24"/>
        </w:rPr>
        <w:t xml:space="preserve"> </w:t>
      </w:r>
      <w:r w:rsidRPr="009E24A0">
        <w:rPr>
          <w:rFonts w:ascii="Times New Roman" w:hAnsi="Times New Roman" w:cs="Times New Roman"/>
          <w:color w:val="000000" w:themeColor="text1"/>
          <w:sz w:val="20"/>
          <w:szCs w:val="24"/>
        </w:rPr>
        <w:t xml:space="preserve">Ameliorative, MHB-21, </w:t>
      </w:r>
      <w:proofErr w:type="spellStart"/>
      <w:r w:rsidRPr="009E24A0">
        <w:rPr>
          <w:rFonts w:ascii="Times New Roman" w:hAnsi="Times New Roman" w:cs="Times New Roman"/>
          <w:color w:val="000000" w:themeColor="text1"/>
          <w:sz w:val="20"/>
          <w:szCs w:val="24"/>
        </w:rPr>
        <w:t>Cisplatin</w:t>
      </w:r>
      <w:proofErr w:type="spellEnd"/>
      <w:r w:rsidRPr="009E24A0">
        <w:rPr>
          <w:rFonts w:ascii="Times New Roman" w:hAnsi="Times New Roman" w:cs="Times New Roman"/>
          <w:color w:val="000000" w:themeColor="text1"/>
          <w:sz w:val="20"/>
          <w:szCs w:val="24"/>
        </w:rPr>
        <w:t xml:space="preserve">, </w:t>
      </w:r>
      <w:r w:rsidR="009E24A0" w:rsidRPr="009E24A0">
        <w:rPr>
          <w:rFonts w:ascii="Times New Roman" w:hAnsi="Times New Roman" w:cs="Times New Roman"/>
          <w:color w:val="000000" w:themeColor="text1"/>
          <w:sz w:val="20"/>
          <w:szCs w:val="24"/>
        </w:rPr>
        <w:t>Hepatotoxicity</w:t>
      </w:r>
      <w:r w:rsidRPr="009E24A0">
        <w:rPr>
          <w:rFonts w:ascii="Times New Roman" w:hAnsi="Times New Roman" w:cs="Times New Roman"/>
          <w:color w:val="000000" w:themeColor="text1"/>
          <w:sz w:val="20"/>
          <w:szCs w:val="24"/>
        </w:rPr>
        <w:t>, Rats.</w:t>
      </w:r>
    </w:p>
    <w:p w:rsidR="009E24A0" w:rsidRPr="009E24A0" w:rsidRDefault="009E24A0" w:rsidP="009E24A0">
      <w:pPr>
        <w:rPr>
          <w:rFonts w:ascii="Times New Roman" w:hAnsi="Times New Roman" w:cs="Times New Roman"/>
          <w:b/>
          <w:color w:val="000000" w:themeColor="text1"/>
          <w:sz w:val="24"/>
          <w:szCs w:val="24"/>
        </w:rPr>
      </w:pPr>
      <w:r w:rsidRPr="009E24A0">
        <w:rPr>
          <w:rFonts w:ascii="Times New Roman" w:hAnsi="Times New Roman" w:cs="Times New Roman"/>
          <w:b/>
          <w:color w:val="000000" w:themeColor="text1"/>
          <w:sz w:val="24"/>
          <w:szCs w:val="24"/>
        </w:rPr>
        <w:t>Biography</w:t>
      </w:r>
    </w:p>
    <w:p w:rsidR="00270DEC" w:rsidRPr="009E24A0" w:rsidRDefault="00044FCA" w:rsidP="00044FCA">
      <w:pPr>
        <w:jc w:val="both"/>
        <w:rPr>
          <w:rFonts w:ascii="Times New Roman" w:hAnsi="Times New Roman" w:cs="Times New Roman"/>
          <w:sz w:val="24"/>
          <w:szCs w:val="24"/>
        </w:rPr>
      </w:pPr>
      <w:proofErr w:type="spellStart"/>
      <w:r w:rsidRPr="00044FCA">
        <w:rPr>
          <w:rFonts w:ascii="Times New Roman" w:hAnsi="Times New Roman" w:cs="Times New Roman"/>
          <w:sz w:val="20"/>
          <w:szCs w:val="24"/>
        </w:rPr>
        <w:t>Josephat</w:t>
      </w:r>
      <w:proofErr w:type="spellEnd"/>
      <w:r w:rsidRPr="00044FCA">
        <w:rPr>
          <w:rFonts w:ascii="Times New Roman" w:hAnsi="Times New Roman" w:cs="Times New Roman"/>
          <w:sz w:val="20"/>
          <w:szCs w:val="24"/>
        </w:rPr>
        <w:t xml:space="preserve"> </w:t>
      </w:r>
      <w:proofErr w:type="spellStart"/>
      <w:r w:rsidRPr="00044FCA">
        <w:rPr>
          <w:rFonts w:ascii="Times New Roman" w:hAnsi="Times New Roman" w:cs="Times New Roman"/>
          <w:sz w:val="20"/>
          <w:szCs w:val="24"/>
        </w:rPr>
        <w:t>Chukwudi</w:t>
      </w:r>
      <w:proofErr w:type="spellEnd"/>
      <w:r w:rsidRPr="00044FCA">
        <w:rPr>
          <w:rFonts w:ascii="Times New Roman" w:hAnsi="Times New Roman" w:cs="Times New Roman"/>
          <w:sz w:val="20"/>
          <w:szCs w:val="24"/>
        </w:rPr>
        <w:t xml:space="preserve"> </w:t>
      </w:r>
      <w:proofErr w:type="spellStart"/>
      <w:r w:rsidRPr="00044FCA">
        <w:rPr>
          <w:rFonts w:ascii="Times New Roman" w:hAnsi="Times New Roman" w:cs="Times New Roman"/>
          <w:sz w:val="20"/>
          <w:szCs w:val="24"/>
        </w:rPr>
        <w:t>Onwusonye</w:t>
      </w:r>
      <w:proofErr w:type="spellEnd"/>
      <w:r w:rsidRPr="00044FCA">
        <w:rPr>
          <w:rFonts w:ascii="Times New Roman" w:hAnsi="Times New Roman" w:cs="Times New Roman"/>
          <w:sz w:val="20"/>
          <w:szCs w:val="24"/>
        </w:rPr>
        <w:t xml:space="preserve"> is a native of </w:t>
      </w:r>
      <w:proofErr w:type="spellStart"/>
      <w:r w:rsidRPr="00044FCA">
        <w:rPr>
          <w:rFonts w:ascii="Times New Roman" w:hAnsi="Times New Roman" w:cs="Times New Roman"/>
          <w:sz w:val="20"/>
          <w:szCs w:val="24"/>
        </w:rPr>
        <w:t>Umuri-Amaimo</w:t>
      </w:r>
      <w:proofErr w:type="spellEnd"/>
      <w:r w:rsidRPr="00044FCA">
        <w:rPr>
          <w:rFonts w:ascii="Times New Roman" w:hAnsi="Times New Roman" w:cs="Times New Roman"/>
          <w:sz w:val="20"/>
          <w:szCs w:val="24"/>
        </w:rPr>
        <w:t xml:space="preserve"> in </w:t>
      </w:r>
      <w:proofErr w:type="spellStart"/>
      <w:r w:rsidRPr="00044FCA">
        <w:rPr>
          <w:rFonts w:ascii="Times New Roman" w:hAnsi="Times New Roman" w:cs="Times New Roman"/>
          <w:sz w:val="20"/>
          <w:szCs w:val="24"/>
        </w:rPr>
        <w:t>Ikeduru</w:t>
      </w:r>
      <w:proofErr w:type="spellEnd"/>
      <w:r w:rsidRPr="00044FCA">
        <w:rPr>
          <w:rFonts w:ascii="Times New Roman" w:hAnsi="Times New Roman" w:cs="Times New Roman"/>
          <w:sz w:val="20"/>
          <w:szCs w:val="24"/>
        </w:rPr>
        <w:t xml:space="preserve"> L.G.A. of Imo State, Nigeria. He obtained </w:t>
      </w:r>
      <w:r>
        <w:rPr>
          <w:rFonts w:ascii="Times New Roman" w:hAnsi="Times New Roman" w:cs="Times New Roman"/>
          <w:sz w:val="20"/>
          <w:szCs w:val="24"/>
        </w:rPr>
        <w:t>his B.Sc. (</w:t>
      </w:r>
      <w:proofErr w:type="spellStart"/>
      <w:r>
        <w:rPr>
          <w:rFonts w:ascii="Times New Roman" w:hAnsi="Times New Roman" w:cs="Times New Roman"/>
          <w:sz w:val="20"/>
          <w:szCs w:val="24"/>
        </w:rPr>
        <w:t>Hons</w:t>
      </w:r>
      <w:proofErr w:type="spellEnd"/>
      <w:r>
        <w:rPr>
          <w:rFonts w:ascii="Times New Roman" w:hAnsi="Times New Roman" w:cs="Times New Roman"/>
          <w:sz w:val="20"/>
          <w:szCs w:val="24"/>
        </w:rPr>
        <w:t>.), M.Sc. and Ph</w:t>
      </w:r>
      <w:r w:rsidRPr="00044FCA">
        <w:rPr>
          <w:rFonts w:ascii="Times New Roman" w:hAnsi="Times New Roman" w:cs="Times New Roman"/>
          <w:sz w:val="20"/>
          <w:szCs w:val="24"/>
        </w:rPr>
        <w:t xml:space="preserve">D in Biochemistry (with specialty in Medical Biochemistry) from the University of Port Harcourt. He has over the years remained an active researcher in the areas of drug discovery, formulations and development. </w:t>
      </w:r>
      <w:r>
        <w:rPr>
          <w:rFonts w:ascii="Times New Roman" w:hAnsi="Times New Roman" w:cs="Times New Roman"/>
          <w:sz w:val="20"/>
          <w:szCs w:val="24"/>
        </w:rPr>
        <w:t>He is</w:t>
      </w:r>
      <w:r w:rsidRPr="00044FCA">
        <w:rPr>
          <w:rFonts w:ascii="Times New Roman" w:hAnsi="Times New Roman" w:cs="Times New Roman"/>
          <w:sz w:val="20"/>
          <w:szCs w:val="24"/>
        </w:rPr>
        <w:t xml:space="preserve"> a member of many professional bodies among which is the Nigerian Society of Biochemistry and Molecular Biology (NSBMB) has over thirty publications (in reputable local and international journals) in the areas of </w:t>
      </w:r>
      <w:proofErr w:type="spellStart"/>
      <w:r w:rsidRPr="00044FCA">
        <w:rPr>
          <w:rFonts w:ascii="Times New Roman" w:hAnsi="Times New Roman" w:cs="Times New Roman"/>
          <w:sz w:val="20"/>
          <w:szCs w:val="24"/>
        </w:rPr>
        <w:t>Phytomedicine</w:t>
      </w:r>
      <w:proofErr w:type="spellEnd"/>
      <w:r w:rsidRPr="00044FCA">
        <w:rPr>
          <w:rFonts w:ascii="Times New Roman" w:hAnsi="Times New Roman" w:cs="Times New Roman"/>
          <w:sz w:val="20"/>
          <w:szCs w:val="24"/>
        </w:rPr>
        <w:t xml:space="preserve"> and Medical Biochemistry. He has previously written some textbooks in the areas of Research Methodology, Forensic Science, Toxicology and General Biochemistry. He is the specialty Editor (Medical Biochemistry) for the African Journal of Medical physics, Biomedical Engineering and Sciences. He is also the specialty editor (Medical Biochemistry) for the Science View Journals.  </w:t>
      </w:r>
      <w:r>
        <w:rPr>
          <w:rFonts w:ascii="Times New Roman" w:hAnsi="Times New Roman" w:cs="Times New Roman"/>
          <w:sz w:val="20"/>
          <w:szCs w:val="24"/>
        </w:rPr>
        <w:t>He</w:t>
      </w:r>
      <w:r w:rsidRPr="00044FCA">
        <w:rPr>
          <w:rFonts w:ascii="Times New Roman" w:hAnsi="Times New Roman" w:cs="Times New Roman"/>
          <w:sz w:val="20"/>
          <w:szCs w:val="24"/>
        </w:rPr>
        <w:t xml:space="preserve"> is a Fellow of the Institute of Policy Management Development.</w:t>
      </w:r>
      <w:bookmarkEnd w:id="0"/>
    </w:p>
    <w:sectPr w:rsidR="00270DEC" w:rsidRPr="009E2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16"/>
    <w:rsid w:val="00044FCA"/>
    <w:rsid w:val="00270DEC"/>
    <w:rsid w:val="00542816"/>
    <w:rsid w:val="006B79BB"/>
    <w:rsid w:val="009274FC"/>
    <w:rsid w:val="009E24A0"/>
    <w:rsid w:val="00DA47A3"/>
    <w:rsid w:val="00ED1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4281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2816"/>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8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4281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4281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023889">
      <w:bodyDiv w:val="1"/>
      <w:marLeft w:val="0"/>
      <w:marRight w:val="0"/>
      <w:marTop w:val="0"/>
      <w:marBottom w:val="0"/>
      <w:divBdr>
        <w:top w:val="none" w:sz="0" w:space="0" w:color="auto"/>
        <w:left w:val="none" w:sz="0" w:space="0" w:color="auto"/>
        <w:bottom w:val="none" w:sz="0" w:space="0" w:color="auto"/>
        <w:right w:val="none" w:sz="0" w:space="0" w:color="auto"/>
      </w:divBdr>
    </w:div>
    <w:div w:id="112461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Josephat Onwusonye</dc:creator>
  <cp:lastModifiedBy>Swetha Sandala</cp:lastModifiedBy>
  <cp:revision>4</cp:revision>
  <dcterms:created xsi:type="dcterms:W3CDTF">2022-11-22T06:15:00Z</dcterms:created>
  <dcterms:modified xsi:type="dcterms:W3CDTF">2022-11-28T12:35:00Z</dcterms:modified>
</cp:coreProperties>
</file>