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AB8F02" w14:textId="68C3D788" w:rsidR="00EF57EC" w:rsidRPr="0035159D" w:rsidRDefault="00EF57EC" w:rsidP="0035159D">
      <w:pPr>
        <w:rPr>
          <w:rFonts w:ascii="Times New Roman" w:hAnsi="Times New Roman" w:cs="Times New Roman"/>
          <w:b/>
          <w:sz w:val="32"/>
        </w:rPr>
      </w:pPr>
      <w:commentRangeStart w:id="0"/>
      <w:r w:rsidRPr="0035159D">
        <w:rPr>
          <w:rFonts w:ascii="Times New Roman" w:hAnsi="Times New Roman" w:cs="Times New Roman"/>
          <w:b/>
          <w:sz w:val="32"/>
        </w:rPr>
        <w:t>Eco</w:t>
      </w:r>
      <w:r w:rsidR="0035159D" w:rsidRPr="0035159D">
        <w:rPr>
          <w:rFonts w:ascii="Times New Roman" w:hAnsi="Times New Roman" w:cs="Times New Roman"/>
          <w:b/>
          <w:sz w:val="32"/>
        </w:rPr>
        <w:t>-friendly successive resolution and purity study for the analysis of triple combination in a market formulation advised to be used during COVID-19 pandemic</w:t>
      </w:r>
      <w:commentRangeEnd w:id="0"/>
      <w:r w:rsidR="00104D38">
        <w:rPr>
          <w:rStyle w:val="CommentReference"/>
        </w:rPr>
        <w:commentReference w:id="0"/>
      </w:r>
    </w:p>
    <w:p w14:paraId="4286948B" w14:textId="2E32AA66" w:rsidR="0095026E" w:rsidRPr="0035159D" w:rsidRDefault="0035159D" w:rsidP="0035159D">
      <w:pPr>
        <w:rPr>
          <w:rFonts w:ascii="Times New Roman" w:hAnsi="Times New Roman" w:cs="Times New Roman"/>
          <w:sz w:val="24"/>
        </w:rPr>
      </w:pPr>
      <w:r>
        <w:rPr>
          <w:rFonts w:ascii="Times New Roman" w:hAnsi="Times New Roman" w:cs="Times New Roman"/>
          <w:sz w:val="24"/>
        </w:rPr>
        <w:t>Dina A. Ahmed*</w:t>
      </w:r>
      <w:r w:rsidR="0095026E" w:rsidRPr="0035159D">
        <w:rPr>
          <w:rFonts w:ascii="Times New Roman" w:hAnsi="Times New Roman" w:cs="Times New Roman"/>
          <w:sz w:val="24"/>
        </w:rPr>
        <w:t xml:space="preserve"> and </w:t>
      </w:r>
      <w:proofErr w:type="spellStart"/>
      <w:r w:rsidR="0095026E" w:rsidRPr="0035159D">
        <w:rPr>
          <w:rFonts w:ascii="Times New Roman" w:hAnsi="Times New Roman" w:cs="Times New Roman"/>
          <w:sz w:val="24"/>
        </w:rPr>
        <w:t>Hayam</w:t>
      </w:r>
      <w:proofErr w:type="spellEnd"/>
      <w:r w:rsidR="0095026E" w:rsidRPr="0035159D">
        <w:rPr>
          <w:rFonts w:ascii="Times New Roman" w:hAnsi="Times New Roman" w:cs="Times New Roman"/>
          <w:sz w:val="24"/>
        </w:rPr>
        <w:t xml:space="preserve"> M. </w:t>
      </w:r>
      <w:proofErr w:type="spellStart"/>
      <w:r w:rsidR="0095026E" w:rsidRPr="0035159D">
        <w:rPr>
          <w:rFonts w:ascii="Times New Roman" w:hAnsi="Times New Roman" w:cs="Times New Roman"/>
          <w:sz w:val="24"/>
        </w:rPr>
        <w:t>Lotfy</w:t>
      </w:r>
      <w:proofErr w:type="spellEnd"/>
    </w:p>
    <w:p w14:paraId="3FFD7508" w14:textId="1059D606" w:rsidR="0095026E" w:rsidRPr="0035159D" w:rsidRDefault="0095026E" w:rsidP="0035159D">
      <w:pPr>
        <w:rPr>
          <w:rFonts w:ascii="Times New Roman" w:hAnsi="Times New Roman" w:cs="Times New Roman"/>
          <w:lang w:bidi="ar-EG"/>
        </w:rPr>
      </w:pPr>
      <w:r w:rsidRPr="0035159D">
        <w:rPr>
          <w:rFonts w:ascii="Times New Roman" w:hAnsi="Times New Roman" w:cs="Times New Roman"/>
          <w:lang w:bidi="ar-EG"/>
        </w:rPr>
        <w:t>Future University in Egypt, Egypt</w:t>
      </w:r>
      <w:bookmarkStart w:id="1" w:name="_GoBack"/>
      <w:bookmarkEnd w:id="1"/>
    </w:p>
    <w:p w14:paraId="195E6869" w14:textId="61746C69" w:rsidR="0095026E" w:rsidRPr="0035159D" w:rsidRDefault="0095026E" w:rsidP="0035159D">
      <w:pPr>
        <w:jc w:val="center"/>
        <w:rPr>
          <w:rFonts w:ascii="Times New Roman" w:hAnsi="Times New Roman" w:cs="Times New Roman"/>
          <w:b/>
          <w:sz w:val="24"/>
        </w:rPr>
      </w:pPr>
      <w:r w:rsidRPr="0035159D">
        <w:rPr>
          <w:rFonts w:ascii="Times New Roman" w:hAnsi="Times New Roman" w:cs="Times New Roman"/>
          <w:b/>
          <w:sz w:val="24"/>
        </w:rPr>
        <w:t>Abstract</w:t>
      </w:r>
    </w:p>
    <w:p w14:paraId="55D8410F" w14:textId="4F240270" w:rsidR="0095026E" w:rsidRPr="0035159D" w:rsidRDefault="0095026E" w:rsidP="0035159D">
      <w:pPr>
        <w:jc w:val="both"/>
        <w:rPr>
          <w:rFonts w:ascii="Times New Roman" w:eastAsia="Times New Roman" w:hAnsi="Times New Roman" w:cs="Times New Roman"/>
          <w:sz w:val="20"/>
        </w:rPr>
      </w:pPr>
      <w:r w:rsidRPr="0035159D">
        <w:rPr>
          <w:rFonts w:ascii="Times New Roman" w:eastAsia="Times New Roman" w:hAnsi="Times New Roman" w:cs="Times New Roman"/>
          <w:sz w:val="20"/>
        </w:rPr>
        <w:t>This study presents a novel green spectrophotometric analytical approach for the analysis of ACE-Proxyvon</w:t>
      </w:r>
      <w:r w:rsidRPr="0035159D">
        <w:rPr>
          <w:rFonts w:ascii="Times New Roman" w:eastAsia="Times New Roman" w:hAnsi="Times New Roman" w:cs="Times New Roman"/>
          <w:sz w:val="20"/>
          <w:vertAlign w:val="superscript"/>
        </w:rPr>
        <w:t>®</w:t>
      </w:r>
      <w:r w:rsidRPr="0035159D">
        <w:rPr>
          <w:rFonts w:ascii="Times New Roman" w:eastAsia="Times New Roman" w:hAnsi="Times New Roman" w:cs="Times New Roman"/>
          <w:sz w:val="20"/>
        </w:rPr>
        <w:t xml:space="preserve"> tablet dosage form recommended to be used in managing the aggressive symptoms of COVID-19 attack as well as dealing with the tiresome post vaccination symptoms. This study focused on the analysis of ternary mixture containing </w:t>
      </w:r>
      <w:proofErr w:type="spellStart"/>
      <w:r w:rsidR="0035159D">
        <w:rPr>
          <w:rFonts w:ascii="Times New Roman" w:eastAsia="Times New Roman" w:hAnsi="Times New Roman" w:cs="Times New Roman"/>
          <w:sz w:val="20"/>
        </w:rPr>
        <w:t>A</w:t>
      </w:r>
      <w:r w:rsidRPr="0035159D">
        <w:rPr>
          <w:rFonts w:ascii="Times New Roman" w:eastAsia="Times New Roman" w:hAnsi="Times New Roman" w:cs="Times New Roman"/>
          <w:sz w:val="20"/>
        </w:rPr>
        <w:t>ceclofenac</w:t>
      </w:r>
      <w:proofErr w:type="spellEnd"/>
      <w:r w:rsidRPr="0035159D">
        <w:rPr>
          <w:rFonts w:ascii="Times New Roman" w:eastAsia="Times New Roman" w:hAnsi="Times New Roman" w:cs="Times New Roman"/>
          <w:sz w:val="20"/>
        </w:rPr>
        <w:t xml:space="preserve"> (ACE), </w:t>
      </w:r>
      <w:proofErr w:type="spellStart"/>
      <w:r w:rsidR="0035159D">
        <w:rPr>
          <w:rFonts w:ascii="Times New Roman" w:eastAsia="Times New Roman" w:hAnsi="Times New Roman" w:cs="Times New Roman"/>
          <w:sz w:val="20"/>
        </w:rPr>
        <w:t>P</w:t>
      </w:r>
      <w:r w:rsidRPr="0035159D">
        <w:rPr>
          <w:rFonts w:ascii="Times New Roman" w:eastAsia="Times New Roman" w:hAnsi="Times New Roman" w:cs="Times New Roman"/>
          <w:sz w:val="20"/>
        </w:rPr>
        <w:t>aracetamol</w:t>
      </w:r>
      <w:proofErr w:type="spellEnd"/>
      <w:r w:rsidRPr="0035159D">
        <w:rPr>
          <w:rFonts w:ascii="Times New Roman" w:eastAsia="Times New Roman" w:hAnsi="Times New Roman" w:cs="Times New Roman"/>
          <w:sz w:val="20"/>
        </w:rPr>
        <w:t xml:space="preserve"> (PAR) and </w:t>
      </w:r>
      <w:proofErr w:type="spellStart"/>
      <w:r w:rsidR="0035159D">
        <w:rPr>
          <w:rFonts w:ascii="Times New Roman" w:eastAsia="Times New Roman" w:hAnsi="Times New Roman" w:cs="Times New Roman"/>
          <w:sz w:val="20"/>
        </w:rPr>
        <w:t>R</w:t>
      </w:r>
      <w:r w:rsidRPr="0035159D">
        <w:rPr>
          <w:rFonts w:ascii="Times New Roman" w:eastAsia="Times New Roman" w:hAnsi="Times New Roman" w:cs="Times New Roman"/>
          <w:sz w:val="20"/>
        </w:rPr>
        <w:t>abeprazole</w:t>
      </w:r>
      <w:proofErr w:type="spellEnd"/>
      <w:r w:rsidRPr="0035159D">
        <w:rPr>
          <w:rFonts w:ascii="Times New Roman" w:eastAsia="Times New Roman" w:hAnsi="Times New Roman" w:cs="Times New Roman"/>
          <w:sz w:val="20"/>
        </w:rPr>
        <w:t xml:space="preserve"> (RAB) in challengeable ratio; 10:50:1, respectively in the presence of the PAR's potential degradation product; 4-aminophenol (4-AP). A Successful compromise was achieved between both resolution and in-silico sample enrichment techniques </w:t>
      </w:r>
      <w:r w:rsidRPr="0035159D">
        <w:rPr>
          <w:rFonts w:ascii="Times New Roman" w:eastAsia="Times New Roman" w:hAnsi="Times New Roman" w:cs="Times New Roman"/>
          <w:i/>
          <w:sz w:val="20"/>
        </w:rPr>
        <w:t>via</w:t>
      </w:r>
      <w:r w:rsidRPr="0035159D">
        <w:rPr>
          <w:rFonts w:ascii="Times New Roman" w:eastAsia="Times New Roman" w:hAnsi="Times New Roman" w:cs="Times New Roman"/>
          <w:sz w:val="20"/>
        </w:rPr>
        <w:t xml:space="preserve"> employing successive manner based on the application of constant multiplication coupled with spectrum subtraction spectrophotometric method (CM-SS) to extract the parent spectrum for each proposed drug. The extracted parent spectra could be successfully used to monitor the purity of the drug and used effectively to detect counterfeit products. Synthetic mixtures and commercial medicine were constructively analyzed using the proposed technique while maintaining calibration graphs to be linear over ranges;</w:t>
      </w:r>
      <w:r w:rsidRPr="0035159D">
        <w:rPr>
          <w:rFonts w:ascii="Times New Roman" w:hAnsi="Times New Roman" w:cs="Times New Roman"/>
          <w:color w:val="333333"/>
          <w:szCs w:val="26"/>
        </w:rPr>
        <w:t xml:space="preserve"> </w:t>
      </w:r>
      <w:r w:rsidRPr="0035159D">
        <w:rPr>
          <w:rFonts w:ascii="Times New Roman" w:hAnsi="Times New Roman" w:cs="Times New Roman"/>
          <w:sz w:val="20"/>
          <w:lang w:bidi="ar-EG"/>
        </w:rPr>
        <w:t xml:space="preserve">4.0-40.0 µg/mL </w:t>
      </w:r>
      <w:r w:rsidRPr="0035159D">
        <w:rPr>
          <w:rFonts w:ascii="Times New Roman" w:eastAsia="Times New Roman" w:hAnsi="Times New Roman" w:cs="Times New Roman"/>
          <w:sz w:val="20"/>
        </w:rPr>
        <w:t xml:space="preserve">for ACE, </w:t>
      </w:r>
      <w:r w:rsidRPr="0035159D">
        <w:rPr>
          <w:rFonts w:ascii="Times New Roman" w:hAnsi="Times New Roman" w:cs="Times New Roman"/>
          <w:sz w:val="20"/>
          <w:lang w:bidi="ar-EG"/>
        </w:rPr>
        <w:t xml:space="preserve">2.0-14.0 µg/mL </w:t>
      </w:r>
      <w:r w:rsidRPr="0035159D">
        <w:rPr>
          <w:rFonts w:ascii="Times New Roman" w:eastAsia="Times New Roman" w:hAnsi="Times New Roman" w:cs="Times New Roman"/>
          <w:sz w:val="20"/>
        </w:rPr>
        <w:t xml:space="preserve">for PAR and </w:t>
      </w:r>
      <w:r w:rsidRPr="0035159D">
        <w:rPr>
          <w:rFonts w:ascii="Times New Roman" w:hAnsi="Times New Roman" w:cs="Times New Roman"/>
          <w:sz w:val="20"/>
          <w:lang w:bidi="ar-EG"/>
        </w:rPr>
        <w:t>4.0-30.0 µg/</w:t>
      </w:r>
      <w:r w:rsidRPr="0035159D">
        <w:rPr>
          <w:rFonts w:ascii="Times New Roman" w:hAnsi="Times New Roman" w:cs="Times New Roman"/>
          <w:sz w:val="20"/>
        </w:rPr>
        <w:t>mL</w:t>
      </w:r>
      <w:r w:rsidRPr="0035159D">
        <w:rPr>
          <w:rFonts w:ascii="Times New Roman" w:eastAsia="Times New Roman" w:hAnsi="Times New Roman" w:cs="Times New Roman"/>
          <w:sz w:val="20"/>
        </w:rPr>
        <w:t xml:space="preserve"> for RAB.</w:t>
      </w:r>
      <w:r w:rsidRPr="0035159D">
        <w:rPr>
          <w:rFonts w:ascii="Times New Roman" w:hAnsi="Times New Roman" w:cs="Times New Roman"/>
          <w:color w:val="333333"/>
          <w:szCs w:val="26"/>
        </w:rPr>
        <w:t xml:space="preserve"> </w:t>
      </w:r>
      <w:r w:rsidRPr="0035159D">
        <w:rPr>
          <w:rFonts w:ascii="Times New Roman" w:eastAsia="Times New Roman" w:hAnsi="Times New Roman" w:cs="Times New Roman"/>
          <w:sz w:val="20"/>
        </w:rPr>
        <w:t xml:space="preserve">Additionally, methods' validation was confirmed </w:t>
      </w:r>
      <w:r w:rsidRPr="0035159D">
        <w:rPr>
          <w:rFonts w:ascii="Times New Roman" w:eastAsia="Times New Roman" w:hAnsi="Times New Roman" w:cs="Times New Roman"/>
          <w:i/>
          <w:sz w:val="20"/>
        </w:rPr>
        <w:t>via</w:t>
      </w:r>
      <w:r w:rsidRPr="0035159D">
        <w:rPr>
          <w:rFonts w:ascii="Times New Roman" w:eastAsia="Times New Roman" w:hAnsi="Times New Roman" w:cs="Times New Roman"/>
          <w:sz w:val="20"/>
        </w:rPr>
        <w:t xml:space="preserve"> performing exhaustive statistical treatment of the experimental findings. Finally, method’s greenness profile was finally guaranteed through analytical greenness (AGREE) metric assessment tool. </w:t>
      </w:r>
    </w:p>
    <w:p w14:paraId="0D52D43A" w14:textId="1FF80456" w:rsidR="00EF57EC" w:rsidRDefault="00EF57EC" w:rsidP="0035159D">
      <w:pPr>
        <w:jc w:val="both"/>
        <w:rPr>
          <w:rFonts w:ascii="Times New Roman" w:hAnsi="Times New Roman" w:cs="Times New Roman"/>
          <w:iCs/>
          <w:color w:val="000000"/>
          <w:sz w:val="20"/>
        </w:rPr>
      </w:pPr>
      <w:r w:rsidRPr="0035159D">
        <w:rPr>
          <w:rFonts w:ascii="Times New Roman" w:hAnsi="Times New Roman" w:cs="Times New Roman"/>
          <w:b/>
          <w:iCs/>
          <w:sz w:val="20"/>
        </w:rPr>
        <w:t>Keywords</w:t>
      </w:r>
      <w:r w:rsidRPr="0035159D">
        <w:rPr>
          <w:rFonts w:ascii="Times New Roman" w:hAnsi="Times New Roman" w:cs="Times New Roman"/>
          <w:b/>
          <w:sz w:val="20"/>
        </w:rPr>
        <w:t>:</w:t>
      </w:r>
      <w:r w:rsidRPr="0035159D">
        <w:rPr>
          <w:rFonts w:ascii="Times New Roman" w:hAnsi="Times New Roman" w:cs="Times New Roman"/>
          <w:sz w:val="20"/>
        </w:rPr>
        <w:t xml:space="preserve"> </w:t>
      </w:r>
      <w:r w:rsidR="00B14DA6" w:rsidRPr="0035159D">
        <w:rPr>
          <w:rFonts w:ascii="Times New Roman" w:hAnsi="Times New Roman" w:cs="Times New Roman"/>
          <w:iCs/>
          <w:sz w:val="20"/>
        </w:rPr>
        <w:t>Green spectrophotometric analysis</w:t>
      </w:r>
      <w:r w:rsidR="0035159D">
        <w:rPr>
          <w:rFonts w:ascii="Times New Roman" w:hAnsi="Times New Roman" w:cs="Times New Roman"/>
          <w:iCs/>
          <w:sz w:val="20"/>
        </w:rPr>
        <w:t xml:space="preserve">, </w:t>
      </w:r>
      <w:r w:rsidRPr="0035159D">
        <w:rPr>
          <w:rFonts w:ascii="Times New Roman" w:hAnsi="Times New Roman" w:cs="Times New Roman"/>
          <w:iCs/>
          <w:sz w:val="20"/>
        </w:rPr>
        <w:t>Triple combination</w:t>
      </w:r>
      <w:r w:rsidR="0035159D">
        <w:rPr>
          <w:rFonts w:ascii="Times New Roman" w:hAnsi="Times New Roman" w:cs="Times New Roman"/>
          <w:iCs/>
          <w:sz w:val="20"/>
        </w:rPr>
        <w:t>,</w:t>
      </w:r>
      <w:r w:rsidRPr="0035159D">
        <w:rPr>
          <w:rFonts w:ascii="Times New Roman" w:hAnsi="Times New Roman" w:cs="Times New Roman"/>
          <w:iCs/>
          <w:sz w:val="20"/>
        </w:rPr>
        <w:t xml:space="preserve"> COVID-19</w:t>
      </w:r>
      <w:r w:rsidR="0035159D">
        <w:rPr>
          <w:rFonts w:ascii="Times New Roman" w:hAnsi="Times New Roman" w:cs="Times New Roman"/>
          <w:iCs/>
          <w:sz w:val="20"/>
        </w:rPr>
        <w:t>,</w:t>
      </w:r>
      <w:r w:rsidRPr="0035159D">
        <w:rPr>
          <w:rFonts w:ascii="Times New Roman" w:hAnsi="Times New Roman" w:cs="Times New Roman"/>
          <w:iCs/>
          <w:sz w:val="20"/>
        </w:rPr>
        <w:t xml:space="preserve"> </w:t>
      </w:r>
      <w:r w:rsidR="00B14DA6" w:rsidRPr="0035159D">
        <w:rPr>
          <w:rFonts w:ascii="Times New Roman" w:hAnsi="Times New Roman" w:cs="Times New Roman"/>
          <w:iCs/>
          <w:color w:val="000000"/>
          <w:sz w:val="20"/>
        </w:rPr>
        <w:t>A</w:t>
      </w:r>
      <w:r w:rsidR="0035159D">
        <w:rPr>
          <w:rFonts w:ascii="Times New Roman" w:hAnsi="Times New Roman" w:cs="Times New Roman"/>
          <w:iCs/>
          <w:color w:val="000000"/>
          <w:sz w:val="20"/>
        </w:rPr>
        <w:t>gree.</w:t>
      </w:r>
    </w:p>
    <w:p w14:paraId="63E33F15" w14:textId="7582EBAB" w:rsidR="0035159D" w:rsidRDefault="0035159D" w:rsidP="0035159D">
      <w:pPr>
        <w:rPr>
          <w:rFonts w:ascii="Times New Roman" w:hAnsi="Times New Roman" w:cs="Times New Roman"/>
          <w:b/>
          <w:iCs/>
          <w:color w:val="000000"/>
          <w:sz w:val="24"/>
        </w:rPr>
      </w:pPr>
      <w:r w:rsidRPr="0035159D">
        <w:rPr>
          <w:rFonts w:ascii="Times New Roman" w:hAnsi="Times New Roman" w:cs="Times New Roman"/>
          <w:b/>
          <w:iCs/>
          <w:color w:val="000000"/>
          <w:sz w:val="24"/>
        </w:rPr>
        <w:t>Biography</w:t>
      </w:r>
    </w:p>
    <w:p w14:paraId="3D06C00F" w14:textId="29BAD54F" w:rsidR="00FA42CB" w:rsidRPr="00FA42CB" w:rsidRDefault="00FA42CB" w:rsidP="00FA42CB">
      <w:pPr>
        <w:jc w:val="both"/>
        <w:rPr>
          <w:rFonts w:ascii="Times New Roman" w:hAnsi="Times New Roman" w:cs="Times New Roman"/>
          <w:sz w:val="20"/>
          <w:lang w:bidi="ar-EG"/>
        </w:rPr>
      </w:pPr>
      <w:r w:rsidRPr="00FA42CB">
        <w:rPr>
          <w:rFonts w:ascii="Times New Roman" w:hAnsi="Times New Roman" w:cs="Times New Roman"/>
          <w:sz w:val="20"/>
          <w:lang w:bidi="ar-EG"/>
        </w:rPr>
        <w:t xml:space="preserve">Dr. Dina is a lecturer in Pharmaceutical Chemistry department (Analytical Chemistry) in Faculty of Pharmacy, Future University in Egypt. She studied Pharmacy at </w:t>
      </w:r>
      <w:proofErr w:type="spellStart"/>
      <w:r w:rsidRPr="00FA42CB">
        <w:rPr>
          <w:rFonts w:ascii="Times New Roman" w:hAnsi="Times New Roman" w:cs="Times New Roman"/>
          <w:sz w:val="20"/>
          <w:lang w:bidi="ar-EG"/>
        </w:rPr>
        <w:t>Ain</w:t>
      </w:r>
      <w:proofErr w:type="spellEnd"/>
      <w:r w:rsidRPr="00FA42CB">
        <w:rPr>
          <w:rFonts w:ascii="Times New Roman" w:hAnsi="Times New Roman" w:cs="Times New Roman"/>
          <w:sz w:val="20"/>
          <w:lang w:bidi="ar-EG"/>
        </w:rPr>
        <w:t xml:space="preserve"> Shams University, Egypt and graduated in 200</w:t>
      </w:r>
      <w:r>
        <w:rPr>
          <w:rFonts w:ascii="Times New Roman" w:hAnsi="Times New Roman" w:cs="Times New Roman"/>
          <w:sz w:val="20"/>
          <w:lang w:bidi="ar-EG"/>
        </w:rPr>
        <w:t>6. She then received Master (M.</w:t>
      </w:r>
      <w:r w:rsidRPr="00FA42CB">
        <w:rPr>
          <w:rFonts w:ascii="Times New Roman" w:hAnsi="Times New Roman" w:cs="Times New Roman"/>
          <w:sz w:val="20"/>
          <w:lang w:bidi="ar-EG"/>
        </w:rPr>
        <w:t xml:space="preserve">Sc.) degree in Pharmaceutical Sciences (Analytical Chemistry) from Faculty of Pharmacy, </w:t>
      </w:r>
      <w:proofErr w:type="spellStart"/>
      <w:r w:rsidRPr="00FA42CB">
        <w:rPr>
          <w:rFonts w:ascii="Times New Roman" w:hAnsi="Times New Roman" w:cs="Times New Roman"/>
          <w:sz w:val="20"/>
          <w:lang w:bidi="ar-EG"/>
        </w:rPr>
        <w:t>Ain</w:t>
      </w:r>
      <w:proofErr w:type="spellEnd"/>
      <w:r w:rsidRPr="00FA42CB">
        <w:rPr>
          <w:rFonts w:ascii="Times New Roman" w:hAnsi="Times New Roman" w:cs="Times New Roman"/>
          <w:sz w:val="20"/>
          <w:lang w:bidi="ar-EG"/>
        </w:rPr>
        <w:t xml:space="preserve"> Shams University in September 2015 then received Doctor of Philosophy (P</w:t>
      </w:r>
      <w:r>
        <w:rPr>
          <w:rFonts w:ascii="Times New Roman" w:hAnsi="Times New Roman" w:cs="Times New Roman"/>
          <w:sz w:val="20"/>
          <w:lang w:bidi="ar-EG"/>
        </w:rPr>
        <w:t>h</w:t>
      </w:r>
      <w:r w:rsidRPr="00FA42CB">
        <w:rPr>
          <w:rFonts w:ascii="Times New Roman" w:hAnsi="Times New Roman" w:cs="Times New Roman"/>
          <w:sz w:val="20"/>
          <w:lang w:bidi="ar-EG"/>
        </w:rPr>
        <w:t>. D</w:t>
      </w:r>
      <w:r>
        <w:rPr>
          <w:rFonts w:ascii="Times New Roman" w:hAnsi="Times New Roman" w:cs="Times New Roman"/>
          <w:sz w:val="20"/>
          <w:lang w:bidi="ar-EG"/>
        </w:rPr>
        <w:t>.</w:t>
      </w:r>
      <w:r w:rsidRPr="00FA42CB">
        <w:rPr>
          <w:rFonts w:ascii="Times New Roman" w:hAnsi="Times New Roman" w:cs="Times New Roman"/>
          <w:sz w:val="20"/>
          <w:lang w:bidi="ar-EG"/>
        </w:rPr>
        <w:t>) degree in Pharmaceutical Sciences (Analytical Chemistry) from Faculty of Pharmacy, Cairo University in February 2020. She has published 8 research articles in different international Journals and attended 6 conferences (local and international) presenting her work as poster and oral presentations.</w:t>
      </w:r>
    </w:p>
    <w:sectPr w:rsidR="00FA42CB" w:rsidRPr="00FA42CB" w:rsidSect="00D910F2">
      <w:pgSz w:w="11906" w:h="16838"/>
      <w:pgMar w:top="1440" w:right="1800" w:bottom="1440" w:left="1800" w:header="708" w:footer="708"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1T12:40:00Z" w:initials="SS">
    <w:p w14:paraId="4A687B93" w14:textId="77777777" w:rsidR="00104D38" w:rsidRDefault="00104D38">
      <w:pPr>
        <w:pStyle w:val="CommentText"/>
      </w:pPr>
      <w:r>
        <w:rPr>
          <w:rStyle w:val="CommentReference"/>
        </w:rPr>
        <w:annotationRef/>
      </w:r>
      <w:r>
        <w:t>Already published. Please find the below link for your reference.</w:t>
      </w:r>
    </w:p>
    <w:p w14:paraId="781C2AE6" w14:textId="77777777" w:rsidR="00104D38" w:rsidRDefault="00104D38">
      <w:pPr>
        <w:pStyle w:val="CommentText"/>
      </w:pPr>
    </w:p>
    <w:p w14:paraId="285E69EE" w14:textId="527E83B6" w:rsidR="00104D38" w:rsidRDefault="00104D38" w:rsidP="00104D38">
      <w:pPr>
        <w:pStyle w:val="CommentText"/>
        <w:numPr>
          <w:ilvl w:val="0"/>
          <w:numId w:val="1"/>
        </w:numPr>
      </w:pPr>
      <w:hyperlink r:id="rId1" w:history="1">
        <w:r w:rsidRPr="00126A51">
          <w:rPr>
            <w:rStyle w:val="Hyperlink"/>
          </w:rPr>
          <w:t>https://magnusconferences.com/bio-analytical-chemistry/program/scientific-program/2022/green-successive-spectrophotometric-resolution-technique-for-the-analyzing-ternary-medicine-recommended-to-be-used-during-covid-19-pandemic-purity-study</w:t>
        </w:r>
      </w:hyperlink>
    </w:p>
    <w:p w14:paraId="1A284EF8" w14:textId="2C99EE79" w:rsidR="00104D38" w:rsidRDefault="00104D38" w:rsidP="00104D3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F019C"/>
    <w:multiLevelType w:val="hybridMultilevel"/>
    <w:tmpl w:val="7F4CE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26E"/>
    <w:rsid w:val="000B4E65"/>
    <w:rsid w:val="00104D38"/>
    <w:rsid w:val="0022274B"/>
    <w:rsid w:val="0035159D"/>
    <w:rsid w:val="0095026E"/>
    <w:rsid w:val="00B14DA6"/>
    <w:rsid w:val="00B64B38"/>
    <w:rsid w:val="00BC6C07"/>
    <w:rsid w:val="00C17CAC"/>
    <w:rsid w:val="00C32942"/>
    <w:rsid w:val="00D65092"/>
    <w:rsid w:val="00D910F2"/>
    <w:rsid w:val="00EF57EC"/>
    <w:rsid w:val="00F33408"/>
    <w:rsid w:val="00FA42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21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E"/>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026E"/>
    <w:rPr>
      <w:color w:val="0563C1" w:themeColor="hyperlink"/>
      <w:u w:val="single"/>
    </w:rPr>
  </w:style>
  <w:style w:type="paragraph" w:customStyle="1" w:styleId="05AHeading">
    <w:name w:val="05 A Heading"/>
    <w:autoRedefine/>
    <w:uiPriority w:val="99"/>
    <w:rsid w:val="0095026E"/>
    <w:pPr>
      <w:autoSpaceDE w:val="0"/>
      <w:autoSpaceDN w:val="0"/>
      <w:spacing w:before="240" w:after="0" w:line="360" w:lineRule="auto"/>
      <w:ind w:left="284"/>
      <w:jc w:val="center"/>
    </w:pPr>
    <w:rPr>
      <w:rFonts w:ascii="Times New Roman" w:eastAsia="Calibri" w:hAnsi="Times New Roman" w:cs="Times New Roman"/>
      <w:b/>
      <w:bCs/>
      <w:sz w:val="24"/>
      <w:szCs w:val="24"/>
      <w:lang w:bidi="ar-EG"/>
    </w:rPr>
  </w:style>
  <w:style w:type="character" w:styleId="CommentReference">
    <w:name w:val="annotation reference"/>
    <w:basedOn w:val="DefaultParagraphFont"/>
    <w:uiPriority w:val="99"/>
    <w:semiHidden/>
    <w:unhideWhenUsed/>
    <w:rsid w:val="0035159D"/>
    <w:rPr>
      <w:sz w:val="16"/>
      <w:szCs w:val="16"/>
    </w:rPr>
  </w:style>
  <w:style w:type="paragraph" w:styleId="CommentText">
    <w:name w:val="annotation text"/>
    <w:basedOn w:val="Normal"/>
    <w:link w:val="CommentTextChar"/>
    <w:uiPriority w:val="99"/>
    <w:semiHidden/>
    <w:unhideWhenUsed/>
    <w:rsid w:val="0035159D"/>
    <w:pPr>
      <w:spacing w:line="240" w:lineRule="auto"/>
    </w:pPr>
    <w:rPr>
      <w:sz w:val="20"/>
      <w:szCs w:val="20"/>
    </w:rPr>
  </w:style>
  <w:style w:type="character" w:customStyle="1" w:styleId="CommentTextChar">
    <w:name w:val="Comment Text Char"/>
    <w:basedOn w:val="DefaultParagraphFont"/>
    <w:link w:val="CommentText"/>
    <w:uiPriority w:val="99"/>
    <w:semiHidden/>
    <w:rsid w:val="0035159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5159D"/>
    <w:rPr>
      <w:b/>
      <w:bCs/>
    </w:rPr>
  </w:style>
  <w:style w:type="character" w:customStyle="1" w:styleId="CommentSubjectChar">
    <w:name w:val="Comment Subject Char"/>
    <w:basedOn w:val="CommentTextChar"/>
    <w:link w:val="CommentSubject"/>
    <w:uiPriority w:val="99"/>
    <w:semiHidden/>
    <w:rsid w:val="0035159D"/>
    <w:rPr>
      <w:rFonts w:eastAsiaTheme="minorEastAsia"/>
      <w:b/>
      <w:bCs/>
      <w:sz w:val="20"/>
      <w:szCs w:val="20"/>
    </w:rPr>
  </w:style>
  <w:style w:type="paragraph" w:styleId="BalloonText">
    <w:name w:val="Balloon Text"/>
    <w:basedOn w:val="Normal"/>
    <w:link w:val="BalloonTextChar"/>
    <w:uiPriority w:val="99"/>
    <w:semiHidden/>
    <w:unhideWhenUsed/>
    <w:rsid w:val="00351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59D"/>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E"/>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026E"/>
    <w:rPr>
      <w:color w:val="0563C1" w:themeColor="hyperlink"/>
      <w:u w:val="single"/>
    </w:rPr>
  </w:style>
  <w:style w:type="paragraph" w:customStyle="1" w:styleId="05AHeading">
    <w:name w:val="05 A Heading"/>
    <w:autoRedefine/>
    <w:uiPriority w:val="99"/>
    <w:rsid w:val="0095026E"/>
    <w:pPr>
      <w:autoSpaceDE w:val="0"/>
      <w:autoSpaceDN w:val="0"/>
      <w:spacing w:before="240" w:after="0" w:line="360" w:lineRule="auto"/>
      <w:ind w:left="284"/>
      <w:jc w:val="center"/>
    </w:pPr>
    <w:rPr>
      <w:rFonts w:ascii="Times New Roman" w:eastAsia="Calibri" w:hAnsi="Times New Roman" w:cs="Times New Roman"/>
      <w:b/>
      <w:bCs/>
      <w:sz w:val="24"/>
      <w:szCs w:val="24"/>
      <w:lang w:bidi="ar-EG"/>
    </w:rPr>
  </w:style>
  <w:style w:type="character" w:styleId="CommentReference">
    <w:name w:val="annotation reference"/>
    <w:basedOn w:val="DefaultParagraphFont"/>
    <w:uiPriority w:val="99"/>
    <w:semiHidden/>
    <w:unhideWhenUsed/>
    <w:rsid w:val="0035159D"/>
    <w:rPr>
      <w:sz w:val="16"/>
      <w:szCs w:val="16"/>
    </w:rPr>
  </w:style>
  <w:style w:type="paragraph" w:styleId="CommentText">
    <w:name w:val="annotation text"/>
    <w:basedOn w:val="Normal"/>
    <w:link w:val="CommentTextChar"/>
    <w:uiPriority w:val="99"/>
    <w:semiHidden/>
    <w:unhideWhenUsed/>
    <w:rsid w:val="0035159D"/>
    <w:pPr>
      <w:spacing w:line="240" w:lineRule="auto"/>
    </w:pPr>
    <w:rPr>
      <w:sz w:val="20"/>
      <w:szCs w:val="20"/>
    </w:rPr>
  </w:style>
  <w:style w:type="character" w:customStyle="1" w:styleId="CommentTextChar">
    <w:name w:val="Comment Text Char"/>
    <w:basedOn w:val="DefaultParagraphFont"/>
    <w:link w:val="CommentText"/>
    <w:uiPriority w:val="99"/>
    <w:semiHidden/>
    <w:rsid w:val="0035159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5159D"/>
    <w:rPr>
      <w:b/>
      <w:bCs/>
    </w:rPr>
  </w:style>
  <w:style w:type="character" w:customStyle="1" w:styleId="CommentSubjectChar">
    <w:name w:val="Comment Subject Char"/>
    <w:basedOn w:val="CommentTextChar"/>
    <w:link w:val="CommentSubject"/>
    <w:uiPriority w:val="99"/>
    <w:semiHidden/>
    <w:rsid w:val="0035159D"/>
    <w:rPr>
      <w:rFonts w:eastAsiaTheme="minorEastAsia"/>
      <w:b/>
      <w:bCs/>
      <w:sz w:val="20"/>
      <w:szCs w:val="20"/>
    </w:rPr>
  </w:style>
  <w:style w:type="paragraph" w:styleId="BalloonText">
    <w:name w:val="Balloon Text"/>
    <w:basedOn w:val="Normal"/>
    <w:link w:val="BalloonTextChar"/>
    <w:uiPriority w:val="99"/>
    <w:semiHidden/>
    <w:unhideWhenUsed/>
    <w:rsid w:val="00351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59D"/>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magnusconferences.com/bio-analytical-chemistry/program/scientific-program/2022/green-successive-spectrophotometric-resolution-technique-for-the-analyzing-ternary-medicine-recommended-to-be-used-during-covid-19-pandemic-purity-study"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Abbas Ahmed Mostafa</dc:creator>
  <cp:keywords/>
  <dc:description/>
  <cp:lastModifiedBy>Swetha Sandala</cp:lastModifiedBy>
  <cp:revision>11</cp:revision>
  <dcterms:created xsi:type="dcterms:W3CDTF">2022-06-29T08:10:00Z</dcterms:created>
  <dcterms:modified xsi:type="dcterms:W3CDTF">2022-07-21T07:10:00Z</dcterms:modified>
</cp:coreProperties>
</file>