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2C7" w:rsidRPr="002E3EE0" w:rsidRDefault="00DA52C7" w:rsidP="00DA52C7">
      <w:pPr>
        <w:rPr>
          <w:rFonts w:ascii="Times New Roman" w:hAnsi="Times New Roman" w:cs="Times New Roman"/>
          <w:b/>
          <w:sz w:val="32"/>
        </w:rPr>
      </w:pPr>
      <w:proofErr w:type="spellStart"/>
      <w:r w:rsidRPr="002E3EE0">
        <w:rPr>
          <w:rFonts w:ascii="Times New Roman" w:hAnsi="Times New Roman" w:cs="Times New Roman"/>
          <w:b/>
          <w:sz w:val="32"/>
        </w:rPr>
        <w:t>Skiatism</w:t>
      </w:r>
      <w:proofErr w:type="spellEnd"/>
      <w:r w:rsidR="002E3EE0" w:rsidRPr="002E3EE0">
        <w:rPr>
          <w:rFonts w:ascii="Times New Roman" w:hAnsi="Times New Roman" w:cs="Times New Roman"/>
          <w:b/>
          <w:sz w:val="32"/>
        </w:rPr>
        <w:t xml:space="preserve">: </w:t>
      </w:r>
      <w:r w:rsidR="002E3EE0">
        <w:rPr>
          <w:rFonts w:ascii="Times New Roman" w:hAnsi="Times New Roman" w:cs="Times New Roman"/>
          <w:b/>
          <w:sz w:val="32"/>
        </w:rPr>
        <w:t>A</w:t>
      </w:r>
      <w:r w:rsidR="002E3EE0" w:rsidRPr="002E3EE0">
        <w:rPr>
          <w:rFonts w:ascii="Times New Roman" w:hAnsi="Times New Roman" w:cs="Times New Roman"/>
          <w:b/>
          <w:sz w:val="32"/>
        </w:rPr>
        <w:t>n intra-cultural concept in an intercultural world</w:t>
      </w:r>
    </w:p>
    <w:p w:rsidR="00DA52C7" w:rsidRDefault="00DA52C7" w:rsidP="00DA52C7">
      <w:pPr>
        <w:rPr>
          <w:rFonts w:ascii="Times New Roman" w:hAnsi="Times New Roman" w:cs="Times New Roman"/>
          <w:sz w:val="24"/>
        </w:rPr>
      </w:pPr>
      <w:r w:rsidRPr="002E3EE0">
        <w:rPr>
          <w:rFonts w:ascii="Times New Roman" w:hAnsi="Times New Roman" w:cs="Times New Roman"/>
          <w:sz w:val="24"/>
        </w:rPr>
        <w:t xml:space="preserve">Samuel </w:t>
      </w:r>
      <w:proofErr w:type="spellStart"/>
      <w:r w:rsidRPr="002E3EE0">
        <w:rPr>
          <w:rFonts w:ascii="Times New Roman" w:hAnsi="Times New Roman" w:cs="Times New Roman"/>
          <w:sz w:val="24"/>
        </w:rPr>
        <w:t>Ochieng</w:t>
      </w:r>
      <w:proofErr w:type="spellEnd"/>
    </w:p>
    <w:p w:rsidR="002E3EE0" w:rsidRPr="002E3EE0" w:rsidRDefault="002E3EE0" w:rsidP="00DA52C7">
      <w:pPr>
        <w:rPr>
          <w:rFonts w:ascii="Times New Roman" w:hAnsi="Times New Roman" w:cs="Times New Roman"/>
        </w:rPr>
      </w:pPr>
      <w:commentRangeStart w:id="0"/>
      <w:r w:rsidRPr="002E3EE0">
        <w:rPr>
          <w:rFonts w:ascii="Times New Roman" w:hAnsi="Times New Roman" w:cs="Times New Roman"/>
        </w:rPr>
        <w:t>University, Country</w:t>
      </w:r>
      <w:commentRangeEnd w:id="0"/>
      <w:r w:rsidR="00F929DD">
        <w:rPr>
          <w:rStyle w:val="CommentReference"/>
        </w:rPr>
        <w:commentReference w:id="0"/>
      </w:r>
    </w:p>
    <w:p w:rsidR="002E3EE0" w:rsidRPr="002E3EE0" w:rsidRDefault="002E3EE0" w:rsidP="002E3EE0">
      <w:pPr>
        <w:jc w:val="center"/>
        <w:rPr>
          <w:rFonts w:ascii="Times New Roman" w:hAnsi="Times New Roman" w:cs="Times New Roman"/>
          <w:b/>
          <w:sz w:val="24"/>
        </w:rPr>
      </w:pPr>
      <w:r w:rsidRPr="002E3EE0">
        <w:rPr>
          <w:rFonts w:ascii="Times New Roman" w:hAnsi="Times New Roman" w:cs="Times New Roman"/>
          <w:b/>
          <w:sz w:val="24"/>
        </w:rPr>
        <w:t>Abstract</w:t>
      </w:r>
    </w:p>
    <w:p w:rsidR="00DA52C7" w:rsidRPr="002E3EE0" w:rsidRDefault="00DA52C7" w:rsidP="002E3EE0">
      <w:pPr>
        <w:jc w:val="both"/>
        <w:rPr>
          <w:rFonts w:ascii="Times New Roman" w:hAnsi="Times New Roman" w:cs="Times New Roman"/>
          <w:sz w:val="20"/>
        </w:rPr>
      </w:pPr>
      <w:r w:rsidRPr="002E3EE0">
        <w:rPr>
          <w:rFonts w:ascii="Times New Roman" w:hAnsi="Times New Roman" w:cs="Times New Roman"/>
          <w:sz w:val="20"/>
        </w:rPr>
        <w:t xml:space="preserve">The paper looks at a psychological approach that bases an understanding of </w:t>
      </w:r>
      <w:proofErr w:type="spellStart"/>
      <w:r w:rsidRPr="002E3EE0">
        <w:rPr>
          <w:rFonts w:ascii="Times New Roman" w:hAnsi="Times New Roman" w:cs="Times New Roman"/>
          <w:sz w:val="20"/>
        </w:rPr>
        <w:t>counselling</w:t>
      </w:r>
      <w:proofErr w:type="spellEnd"/>
      <w:r w:rsidRPr="002E3EE0">
        <w:rPr>
          <w:rFonts w:ascii="Times New Roman" w:hAnsi="Times New Roman" w:cs="Times New Roman"/>
          <w:sz w:val="20"/>
        </w:rPr>
        <w:t xml:space="preserve"> through the use of symbolism in a transcultural </w:t>
      </w:r>
      <w:r w:rsidR="002E3EE0" w:rsidRPr="002E3EE0">
        <w:rPr>
          <w:rFonts w:ascii="Times New Roman" w:hAnsi="Times New Roman" w:cs="Times New Roman"/>
          <w:sz w:val="20"/>
        </w:rPr>
        <w:t>dimension</w:t>
      </w:r>
      <w:r w:rsidRPr="002E3EE0">
        <w:rPr>
          <w:rFonts w:ascii="Times New Roman" w:hAnsi="Times New Roman" w:cs="Times New Roman"/>
          <w:sz w:val="20"/>
        </w:rPr>
        <w:t>,</w:t>
      </w:r>
      <w:r w:rsidR="002E3EE0">
        <w:rPr>
          <w:rFonts w:ascii="Times New Roman" w:hAnsi="Times New Roman" w:cs="Times New Roman"/>
          <w:sz w:val="20"/>
        </w:rPr>
        <w:t xml:space="preserve"> </w:t>
      </w:r>
      <w:r w:rsidRPr="002E3EE0">
        <w:rPr>
          <w:rFonts w:ascii="Times New Roman" w:hAnsi="Times New Roman" w:cs="Times New Roman"/>
          <w:sz w:val="20"/>
        </w:rPr>
        <w:t>projected into an Intra cultural paradigm.</w:t>
      </w:r>
      <w:r w:rsidR="002E3EE0">
        <w:rPr>
          <w:rFonts w:ascii="Times New Roman" w:hAnsi="Times New Roman" w:cs="Times New Roman"/>
          <w:sz w:val="20"/>
        </w:rPr>
        <w:t xml:space="preserve"> </w:t>
      </w:r>
      <w:r w:rsidRPr="002E3EE0">
        <w:rPr>
          <w:rFonts w:ascii="Times New Roman" w:hAnsi="Times New Roman" w:cs="Times New Roman"/>
          <w:sz w:val="20"/>
        </w:rPr>
        <w:t>It fuses Western ideologies of Jung and his concepts of symbols,</w:t>
      </w:r>
      <w:r w:rsidR="002E3EE0">
        <w:rPr>
          <w:rFonts w:ascii="Times New Roman" w:hAnsi="Times New Roman" w:cs="Times New Roman"/>
          <w:sz w:val="20"/>
        </w:rPr>
        <w:t xml:space="preserve"> </w:t>
      </w:r>
      <w:r w:rsidRPr="002E3EE0">
        <w:rPr>
          <w:rFonts w:ascii="Times New Roman" w:hAnsi="Times New Roman" w:cs="Times New Roman"/>
          <w:sz w:val="20"/>
        </w:rPr>
        <w:t>with</w:t>
      </w:r>
      <w:r w:rsidR="002E3EE0">
        <w:rPr>
          <w:rFonts w:ascii="Times New Roman" w:hAnsi="Times New Roman" w:cs="Times New Roman"/>
          <w:sz w:val="20"/>
        </w:rPr>
        <w:t xml:space="preserve"> </w:t>
      </w:r>
      <w:r w:rsidRPr="002E3EE0">
        <w:rPr>
          <w:rFonts w:ascii="Times New Roman" w:hAnsi="Times New Roman" w:cs="Times New Roman"/>
          <w:sz w:val="20"/>
        </w:rPr>
        <w:t xml:space="preserve">African belief systems portrayed through stories, myths and legends. </w:t>
      </w:r>
    </w:p>
    <w:p w:rsidR="00DA52C7" w:rsidRPr="002E3EE0" w:rsidRDefault="00DA52C7" w:rsidP="002E3EE0">
      <w:pPr>
        <w:jc w:val="both"/>
        <w:rPr>
          <w:rFonts w:ascii="Times New Roman" w:hAnsi="Times New Roman" w:cs="Times New Roman"/>
          <w:sz w:val="20"/>
        </w:rPr>
      </w:pPr>
      <w:r w:rsidRPr="002E3EE0">
        <w:rPr>
          <w:rFonts w:ascii="Times New Roman" w:hAnsi="Times New Roman" w:cs="Times New Roman"/>
          <w:sz w:val="20"/>
        </w:rPr>
        <w:t xml:space="preserve">Symbols are culturally oriented in terms of interpretation, but there are those that have become intra-culturally formulated. </w:t>
      </w:r>
      <w:r w:rsidRPr="002E3EE0">
        <w:rPr>
          <w:rFonts w:ascii="Times New Roman" w:hAnsi="Times New Roman" w:cs="Times New Roman"/>
          <w:sz w:val="20"/>
        </w:rPr>
        <w:tab/>
      </w:r>
    </w:p>
    <w:p w:rsidR="00DA52C7" w:rsidRPr="002E3EE0" w:rsidRDefault="00DA52C7" w:rsidP="002E3EE0">
      <w:pPr>
        <w:jc w:val="both"/>
        <w:rPr>
          <w:rFonts w:ascii="Times New Roman" w:hAnsi="Times New Roman" w:cs="Times New Roman"/>
          <w:sz w:val="20"/>
        </w:rPr>
      </w:pPr>
      <w:r w:rsidRPr="002E3EE0">
        <w:rPr>
          <w:rFonts w:ascii="Times New Roman" w:hAnsi="Times New Roman" w:cs="Times New Roman"/>
          <w:sz w:val="20"/>
        </w:rPr>
        <w:t xml:space="preserve">As a word, ‘symbol’ takes its roots from the Greek word </w:t>
      </w:r>
      <w:proofErr w:type="spellStart"/>
      <w:r w:rsidRPr="002E3EE0">
        <w:rPr>
          <w:rFonts w:ascii="Times New Roman" w:hAnsi="Times New Roman" w:cs="Times New Roman"/>
          <w:sz w:val="20"/>
        </w:rPr>
        <w:t>symbolon</w:t>
      </w:r>
      <w:proofErr w:type="spellEnd"/>
      <w:r w:rsidRPr="002E3EE0">
        <w:rPr>
          <w:rFonts w:ascii="Times New Roman" w:hAnsi="Times New Roman" w:cs="Times New Roman"/>
          <w:sz w:val="20"/>
        </w:rPr>
        <w:t xml:space="preserve"> and it is usually taken to mean a sign from which a person can recognize or imply something. The word itself consists of the syllable ‘</w:t>
      </w:r>
      <w:proofErr w:type="spellStart"/>
      <w:r w:rsidRPr="002E3EE0">
        <w:rPr>
          <w:rFonts w:ascii="Times New Roman" w:hAnsi="Times New Roman" w:cs="Times New Roman"/>
          <w:sz w:val="20"/>
        </w:rPr>
        <w:t>sym</w:t>
      </w:r>
      <w:proofErr w:type="spellEnd"/>
      <w:r w:rsidRPr="002E3EE0">
        <w:rPr>
          <w:rFonts w:ascii="Times New Roman" w:hAnsi="Times New Roman" w:cs="Times New Roman"/>
          <w:sz w:val="20"/>
        </w:rPr>
        <w:t>’ which gives the inference of together, common. The second syllable, ‘</w:t>
      </w:r>
      <w:proofErr w:type="spellStart"/>
      <w:r w:rsidRPr="002E3EE0">
        <w:rPr>
          <w:rFonts w:ascii="Times New Roman" w:hAnsi="Times New Roman" w:cs="Times New Roman"/>
          <w:sz w:val="20"/>
        </w:rPr>
        <w:t>bolon</w:t>
      </w:r>
      <w:proofErr w:type="spellEnd"/>
      <w:r w:rsidRPr="002E3EE0">
        <w:rPr>
          <w:rFonts w:ascii="Times New Roman" w:hAnsi="Times New Roman" w:cs="Times New Roman"/>
          <w:sz w:val="20"/>
        </w:rPr>
        <w:t xml:space="preserve">’, depicts that which has been thrown: I throw. To join the two ideas together, you arrive at where things are thrown together. </w:t>
      </w:r>
    </w:p>
    <w:p w:rsidR="00DA52C7" w:rsidRPr="002E3EE0" w:rsidRDefault="00DA52C7" w:rsidP="002E3EE0">
      <w:pPr>
        <w:jc w:val="both"/>
        <w:rPr>
          <w:rFonts w:ascii="Times New Roman" w:hAnsi="Times New Roman" w:cs="Times New Roman"/>
          <w:sz w:val="20"/>
        </w:rPr>
      </w:pPr>
      <w:r w:rsidRPr="002E3EE0">
        <w:rPr>
          <w:rFonts w:ascii="Times New Roman" w:hAnsi="Times New Roman" w:cs="Times New Roman"/>
          <w:sz w:val="20"/>
        </w:rPr>
        <w:t>Looked at in a different light, the symbol is part of a whole and, if part of the symbol is ‘broken off’, then the part that is broken off is still a part of the whole, depicting both what the whole is and that it is the broken-off part of that particular whole. When reconnected to the whole, it gives a greater value to the whole because</w:t>
      </w:r>
      <w:r w:rsidR="002E3EE0">
        <w:rPr>
          <w:rFonts w:ascii="Times New Roman" w:hAnsi="Times New Roman" w:cs="Times New Roman"/>
          <w:sz w:val="20"/>
        </w:rPr>
        <w:t xml:space="preserve"> it enhances the whole towards </w:t>
      </w:r>
      <w:r w:rsidRPr="002E3EE0">
        <w:rPr>
          <w:rFonts w:ascii="Times New Roman" w:hAnsi="Times New Roman" w:cs="Times New Roman"/>
          <w:sz w:val="20"/>
        </w:rPr>
        <w:t>wholesomeness</w:t>
      </w:r>
      <w:r w:rsidR="002E3EE0">
        <w:rPr>
          <w:rFonts w:ascii="Times New Roman" w:hAnsi="Times New Roman" w:cs="Times New Roman"/>
          <w:sz w:val="20"/>
        </w:rPr>
        <w:t>–</w:t>
      </w:r>
      <w:r w:rsidRPr="002E3EE0">
        <w:rPr>
          <w:rFonts w:ascii="Times New Roman" w:hAnsi="Times New Roman" w:cs="Times New Roman"/>
          <w:sz w:val="20"/>
        </w:rPr>
        <w:t>a bonding of a part to a greater whole, giving a greater value.</w:t>
      </w:r>
    </w:p>
    <w:p w:rsidR="00A078AD" w:rsidRDefault="00DA52C7" w:rsidP="002E3EE0">
      <w:pPr>
        <w:jc w:val="both"/>
        <w:rPr>
          <w:rFonts w:ascii="Times New Roman" w:hAnsi="Times New Roman" w:cs="Times New Roman"/>
          <w:sz w:val="20"/>
        </w:rPr>
      </w:pPr>
      <w:r w:rsidRPr="002E3EE0">
        <w:rPr>
          <w:rFonts w:ascii="Times New Roman" w:hAnsi="Times New Roman" w:cs="Times New Roman"/>
          <w:sz w:val="20"/>
        </w:rPr>
        <w:t xml:space="preserve">The Paper gives rise to the concept of </w:t>
      </w:r>
      <w:proofErr w:type="spellStart"/>
      <w:r w:rsidRPr="002E3EE0">
        <w:rPr>
          <w:rFonts w:ascii="Times New Roman" w:hAnsi="Times New Roman" w:cs="Times New Roman"/>
          <w:sz w:val="20"/>
        </w:rPr>
        <w:t>Skiatism</w:t>
      </w:r>
      <w:proofErr w:type="spellEnd"/>
      <w:r w:rsidRPr="002E3EE0">
        <w:rPr>
          <w:rFonts w:ascii="Times New Roman" w:hAnsi="Times New Roman" w:cs="Times New Roman"/>
          <w:sz w:val="20"/>
        </w:rPr>
        <w:t>.</w:t>
      </w:r>
      <w:bookmarkStart w:id="1" w:name="_GoBack"/>
      <w:bookmarkEnd w:id="1"/>
    </w:p>
    <w:p w:rsidR="00F929DD" w:rsidRPr="00F929DD" w:rsidRDefault="00F929DD" w:rsidP="00F929DD">
      <w:pPr>
        <w:rPr>
          <w:rFonts w:ascii="Times New Roman" w:hAnsi="Times New Roman" w:cs="Times New Roman"/>
          <w:b/>
          <w:sz w:val="24"/>
        </w:rPr>
      </w:pPr>
      <w:commentRangeStart w:id="2"/>
      <w:r w:rsidRPr="00F929DD">
        <w:rPr>
          <w:rFonts w:ascii="Times New Roman" w:hAnsi="Times New Roman" w:cs="Times New Roman"/>
          <w:b/>
          <w:sz w:val="24"/>
        </w:rPr>
        <w:t>Biography</w:t>
      </w:r>
      <w:commentRangeEnd w:id="2"/>
      <w:r>
        <w:rPr>
          <w:rStyle w:val="CommentReference"/>
        </w:rPr>
        <w:commentReference w:id="2"/>
      </w:r>
    </w:p>
    <w:p w:rsidR="00F929DD" w:rsidRPr="002E3EE0" w:rsidRDefault="00F929DD" w:rsidP="002E3EE0">
      <w:pPr>
        <w:jc w:val="both"/>
        <w:rPr>
          <w:rFonts w:ascii="Times New Roman" w:hAnsi="Times New Roman" w:cs="Times New Roman"/>
          <w:sz w:val="20"/>
        </w:rPr>
      </w:pPr>
    </w:p>
    <w:sectPr w:rsidR="00F929DD" w:rsidRPr="002E3E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7-27T17:32:00Z" w:initials="SS">
    <w:p w:rsidR="00F929DD" w:rsidRDefault="00F929DD">
      <w:pPr>
        <w:pStyle w:val="CommentText"/>
      </w:pPr>
      <w:r>
        <w:rPr>
          <w:rStyle w:val="CommentReference"/>
        </w:rPr>
        <w:annotationRef/>
      </w:r>
      <w:r>
        <w:t>Add university and country</w:t>
      </w:r>
    </w:p>
  </w:comment>
  <w:comment w:id="2" w:author="Swetha Sandala" w:date="2022-07-27T17:32:00Z" w:initials="SS">
    <w:p w:rsidR="00F929DD" w:rsidRDefault="00F929DD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2C7"/>
    <w:rsid w:val="002E3EE0"/>
    <w:rsid w:val="00A078AD"/>
    <w:rsid w:val="00DA52C7"/>
    <w:rsid w:val="00F9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929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29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29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29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29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9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9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929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29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29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29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29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9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9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20th World Gastroenterologists Summit</dc:creator>
  <cp:lastModifiedBy>Swetha Sandala</cp:lastModifiedBy>
  <cp:revision>2</cp:revision>
  <dcterms:created xsi:type="dcterms:W3CDTF">2022-07-25T09:42:00Z</dcterms:created>
  <dcterms:modified xsi:type="dcterms:W3CDTF">2022-07-27T12:02:00Z</dcterms:modified>
</cp:coreProperties>
</file>