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798" w:rsidRDefault="00EA6394">
      <w:pPr>
        <w:rPr>
          <w:rFonts w:ascii="Times New Roman" w:hAnsi="Times New Roman" w:cs="Times New Roman"/>
          <w:b/>
          <w:sz w:val="32"/>
        </w:rPr>
      </w:pPr>
      <w:commentRangeStart w:id="0"/>
      <w:r w:rsidRPr="00EA6394">
        <w:rPr>
          <w:rFonts w:ascii="Times New Roman" w:hAnsi="Times New Roman" w:cs="Times New Roman"/>
          <w:b/>
          <w:sz w:val="32"/>
        </w:rPr>
        <w:t>Explaining the reasons for not maintaining the health guidelines to prevent COVID-19 in high-risk jobs: A qualitative study in Iran</w:t>
      </w:r>
      <w:commentRangeEnd w:id="0"/>
      <w:r w:rsidR="006A1B0B">
        <w:rPr>
          <w:rStyle w:val="CommentReference"/>
        </w:rPr>
        <w:commentReference w:id="0"/>
      </w:r>
    </w:p>
    <w:p w:rsidR="00EA6394" w:rsidRDefault="00EA6394">
      <w:pPr>
        <w:rPr>
          <w:rFonts w:ascii="Times New Roman" w:hAnsi="Times New Roman" w:cs="Times New Roman"/>
          <w:sz w:val="24"/>
        </w:rPr>
      </w:pPr>
      <w:proofErr w:type="spellStart"/>
      <w:r w:rsidRPr="00EA6394">
        <w:rPr>
          <w:rFonts w:ascii="Times New Roman" w:hAnsi="Times New Roman" w:cs="Times New Roman"/>
          <w:sz w:val="24"/>
        </w:rPr>
        <w:t>Neda</w:t>
      </w:r>
      <w:proofErr w:type="spellEnd"/>
      <w:r w:rsidRPr="00EA6394">
        <w:rPr>
          <w:rFonts w:ascii="Times New Roman" w:hAnsi="Times New Roman" w:cs="Times New Roman"/>
          <w:sz w:val="24"/>
        </w:rPr>
        <w:t xml:space="preserve"> </w:t>
      </w:r>
      <w:proofErr w:type="spellStart"/>
      <w:r w:rsidRPr="00EA6394">
        <w:rPr>
          <w:rFonts w:ascii="Times New Roman" w:hAnsi="Times New Roman" w:cs="Times New Roman"/>
          <w:sz w:val="24"/>
        </w:rPr>
        <w:t>Soleimanvandi</w:t>
      </w:r>
      <w:proofErr w:type="spellEnd"/>
      <w:r w:rsidRPr="00EA6394">
        <w:rPr>
          <w:rFonts w:ascii="Times New Roman" w:hAnsi="Times New Roman" w:cs="Times New Roman"/>
          <w:sz w:val="24"/>
        </w:rPr>
        <w:t xml:space="preserve"> </w:t>
      </w:r>
      <w:proofErr w:type="spellStart"/>
      <w:r w:rsidRPr="00EA6394">
        <w:rPr>
          <w:rFonts w:ascii="Times New Roman" w:hAnsi="Times New Roman" w:cs="Times New Roman"/>
          <w:sz w:val="24"/>
        </w:rPr>
        <w:t>Azar</w:t>
      </w:r>
      <w:proofErr w:type="spellEnd"/>
    </w:p>
    <w:p w:rsidR="00EA6394" w:rsidRDefault="00EA6394">
      <w:pPr>
        <w:rPr>
          <w:rFonts w:ascii="Times New Roman" w:hAnsi="Times New Roman" w:cs="Times New Roman"/>
        </w:rPr>
      </w:pPr>
      <w:r w:rsidRPr="00EA6394">
        <w:rPr>
          <w:rFonts w:ascii="Times New Roman" w:hAnsi="Times New Roman" w:cs="Times New Roman"/>
        </w:rPr>
        <w:t>Iran University of Medical Sciences, Iran</w:t>
      </w:r>
    </w:p>
    <w:p w:rsidR="00EA6394" w:rsidRPr="00EA6394" w:rsidRDefault="00EA6394" w:rsidP="00EA6394">
      <w:pPr>
        <w:jc w:val="center"/>
        <w:rPr>
          <w:rFonts w:ascii="Times New Roman" w:hAnsi="Times New Roman" w:cs="Times New Roman"/>
          <w:b/>
          <w:sz w:val="24"/>
        </w:rPr>
      </w:pPr>
      <w:r w:rsidRPr="00EA6394">
        <w:rPr>
          <w:rFonts w:ascii="Times New Roman" w:hAnsi="Times New Roman" w:cs="Times New Roman"/>
          <w:b/>
          <w:sz w:val="24"/>
        </w:rPr>
        <w:t>Abstract</w:t>
      </w:r>
    </w:p>
    <w:p w:rsidR="00EA6394" w:rsidRPr="00EA6394" w:rsidRDefault="00EA6394" w:rsidP="00EA6394">
      <w:pPr>
        <w:jc w:val="both"/>
        <w:rPr>
          <w:rFonts w:ascii="Times New Roman" w:hAnsi="Times New Roman" w:cs="Times New Roman"/>
          <w:sz w:val="20"/>
        </w:rPr>
      </w:pPr>
      <w:r w:rsidRPr="00EA6394">
        <w:rPr>
          <w:rFonts w:ascii="Times New Roman" w:hAnsi="Times New Roman" w:cs="Times New Roman"/>
          <w:b/>
          <w:sz w:val="20"/>
        </w:rPr>
        <w:t>Background:</w:t>
      </w:r>
      <w:r w:rsidRPr="00EA6394">
        <w:rPr>
          <w:rFonts w:ascii="Times New Roman" w:hAnsi="Times New Roman" w:cs="Times New Roman"/>
          <w:sz w:val="20"/>
        </w:rPr>
        <w:t xml:space="preserve"> Although the workers in many occupations are at the greatest risk of catching and spreading COVID</w:t>
      </w:r>
      <w:r w:rsidR="003B5CAE">
        <w:rPr>
          <w:rFonts w:ascii="Times New Roman" w:hAnsi="Times New Roman" w:cs="Times New Roman"/>
          <w:sz w:val="20"/>
        </w:rPr>
        <w:t>-</w:t>
      </w:r>
      <w:r w:rsidRPr="00EA6394">
        <w:rPr>
          <w:rFonts w:ascii="Times New Roman" w:hAnsi="Times New Roman" w:cs="Times New Roman"/>
          <w:sz w:val="20"/>
        </w:rPr>
        <w:t xml:space="preserve">19 due to assembling and contacting people, the owners of these occupations do not follow COVID-19 health instructions. The purpose </w:t>
      </w:r>
      <w:bookmarkStart w:id="1" w:name="_GoBack"/>
      <w:bookmarkEnd w:id="1"/>
      <w:r w:rsidRPr="00EA6394">
        <w:rPr>
          <w:rFonts w:ascii="Times New Roman" w:hAnsi="Times New Roman" w:cs="Times New Roman"/>
          <w:sz w:val="20"/>
        </w:rPr>
        <w:t xml:space="preserve">of this study is to explain the reasons for not maintaining health guidelines to prevent COVID-19 in high-risk jobs in Iran. </w:t>
      </w:r>
    </w:p>
    <w:p w:rsidR="00EA6394" w:rsidRPr="00EA6394" w:rsidRDefault="00EA6394" w:rsidP="00EA6394">
      <w:pPr>
        <w:jc w:val="both"/>
        <w:rPr>
          <w:rFonts w:ascii="Times New Roman" w:hAnsi="Times New Roman" w:cs="Times New Roman"/>
          <w:sz w:val="20"/>
        </w:rPr>
      </w:pPr>
      <w:r w:rsidRPr="00EA6394">
        <w:rPr>
          <w:rFonts w:ascii="Times New Roman" w:hAnsi="Times New Roman" w:cs="Times New Roman"/>
          <w:b/>
          <w:sz w:val="20"/>
        </w:rPr>
        <w:t>Methods:</w:t>
      </w:r>
      <w:r w:rsidRPr="00EA6394">
        <w:rPr>
          <w:rFonts w:ascii="Times New Roman" w:hAnsi="Times New Roman" w:cs="Times New Roman"/>
          <w:sz w:val="20"/>
        </w:rPr>
        <w:t xml:space="preserve"> The present study was conducted with a qualitative approach among people with high-risk jobs in Tehran during March and April of 2020. Data were collected through semi-structured interviews with 31 people with high-risk occupations selected by purposeful sampling and snowballing. The data were analyzed using the conventional qualitative content analysis method and MAXQDA-18 software. </w:t>
      </w:r>
      <w:proofErr w:type="spellStart"/>
      <w:r w:rsidRPr="00EA6394">
        <w:rPr>
          <w:rFonts w:ascii="Times New Roman" w:hAnsi="Times New Roman" w:cs="Times New Roman"/>
          <w:sz w:val="20"/>
        </w:rPr>
        <w:t>Guba</w:t>
      </w:r>
      <w:proofErr w:type="spellEnd"/>
      <w:r w:rsidRPr="00EA6394">
        <w:rPr>
          <w:rFonts w:ascii="Times New Roman" w:hAnsi="Times New Roman" w:cs="Times New Roman"/>
          <w:sz w:val="20"/>
        </w:rPr>
        <w:t xml:space="preserve"> and Lincoln’s criteria were also used to evaluate the quality of the research results. </w:t>
      </w:r>
    </w:p>
    <w:p w:rsidR="00EA6394" w:rsidRPr="00EA6394" w:rsidRDefault="00EA6394" w:rsidP="00EA6394">
      <w:pPr>
        <w:jc w:val="both"/>
        <w:rPr>
          <w:rFonts w:ascii="Times New Roman" w:hAnsi="Times New Roman" w:cs="Times New Roman"/>
          <w:sz w:val="20"/>
        </w:rPr>
      </w:pPr>
      <w:r w:rsidRPr="00EA6394">
        <w:rPr>
          <w:rFonts w:ascii="Times New Roman" w:hAnsi="Times New Roman" w:cs="Times New Roman"/>
          <w:b/>
          <w:sz w:val="20"/>
        </w:rPr>
        <w:t>Results:</w:t>
      </w:r>
      <w:r w:rsidRPr="00EA6394">
        <w:rPr>
          <w:rFonts w:ascii="Times New Roman" w:hAnsi="Times New Roman" w:cs="Times New Roman"/>
          <w:sz w:val="20"/>
        </w:rPr>
        <w:t xml:space="preserve"> 4 main categories and 13 sub-categories were obtained, including individual factors (personality traits, lack of self-efficacy, little knowledge of the disease and how to observe health norms related to it, misconceptions about health), structural factors (difficulty of access to health supplies, lack of supportive environment, weak laws and supervision, the poor performance of officials and national media), economic factors (economic costs of living, lack of government economic support), Socio-cultural factors (learning, cultural beliefs, social customs, and rituals). </w:t>
      </w:r>
    </w:p>
    <w:p w:rsidR="00EA6394" w:rsidRDefault="00EA6394" w:rsidP="00EA6394">
      <w:pPr>
        <w:jc w:val="both"/>
        <w:rPr>
          <w:rFonts w:ascii="Times New Roman" w:hAnsi="Times New Roman" w:cs="Times New Roman"/>
          <w:sz w:val="20"/>
        </w:rPr>
      </w:pPr>
      <w:r w:rsidRPr="00EA6394">
        <w:rPr>
          <w:rFonts w:ascii="Times New Roman" w:hAnsi="Times New Roman" w:cs="Times New Roman"/>
          <w:b/>
          <w:sz w:val="20"/>
        </w:rPr>
        <w:t>Conclusion:</w:t>
      </w:r>
      <w:r w:rsidRPr="00EA6394">
        <w:rPr>
          <w:rFonts w:ascii="Times New Roman" w:hAnsi="Times New Roman" w:cs="Times New Roman"/>
          <w:sz w:val="20"/>
        </w:rPr>
        <w:t xml:space="preserve"> COVID-19 prevention requires intervention at different levels. At the individual level: increasing people’s awareness and understanding about how to prevent COVID-19 and strengthening self-efficacy in observing health norms, at the social level: highlighting positive patterns of observing health issues and training people about the consequences of social interactions during the outbreak of the virus, and at the macro level: strengthening regulatory rules and increasing people’s access to hygienic products and support for the vulnerable must be taken into account.</w:t>
      </w:r>
    </w:p>
    <w:p w:rsidR="00EA6394" w:rsidRPr="00F33A15" w:rsidRDefault="00EA6394" w:rsidP="00F33A15">
      <w:pPr>
        <w:rPr>
          <w:rFonts w:ascii="Times New Roman" w:hAnsi="Times New Roman" w:cs="Times New Roman"/>
          <w:b/>
          <w:sz w:val="24"/>
        </w:rPr>
      </w:pPr>
      <w:r w:rsidRPr="00F33A15">
        <w:rPr>
          <w:rFonts w:ascii="Times New Roman" w:hAnsi="Times New Roman" w:cs="Times New Roman"/>
          <w:b/>
          <w:sz w:val="24"/>
        </w:rPr>
        <w:t>Biography</w:t>
      </w:r>
    </w:p>
    <w:p w:rsidR="00EA6394" w:rsidRPr="00EA6394" w:rsidRDefault="00EA6394" w:rsidP="00EA6394">
      <w:pPr>
        <w:jc w:val="both"/>
        <w:rPr>
          <w:rFonts w:ascii="Times New Roman" w:hAnsi="Times New Roman" w:cs="Times New Roman"/>
          <w:sz w:val="20"/>
        </w:rPr>
      </w:pPr>
      <w:proofErr w:type="spellStart"/>
      <w:r w:rsidRPr="00EA6394">
        <w:rPr>
          <w:rFonts w:ascii="Times New Roman" w:hAnsi="Times New Roman" w:cs="Times New Roman"/>
          <w:sz w:val="20"/>
        </w:rPr>
        <w:t>Neda</w:t>
      </w:r>
      <w:proofErr w:type="spellEnd"/>
      <w:r w:rsidRPr="00EA6394">
        <w:rPr>
          <w:rFonts w:ascii="Times New Roman" w:hAnsi="Times New Roman" w:cs="Times New Roman"/>
          <w:sz w:val="20"/>
        </w:rPr>
        <w:t xml:space="preserve"> </w:t>
      </w:r>
      <w:proofErr w:type="spellStart"/>
      <w:r w:rsidRPr="00EA6394">
        <w:rPr>
          <w:rFonts w:ascii="Times New Roman" w:hAnsi="Times New Roman" w:cs="Times New Roman"/>
          <w:sz w:val="20"/>
        </w:rPr>
        <w:t>Soleimanvandi</w:t>
      </w:r>
      <w:proofErr w:type="spellEnd"/>
      <w:r w:rsidRPr="00EA6394">
        <w:rPr>
          <w:rFonts w:ascii="Times New Roman" w:hAnsi="Times New Roman" w:cs="Times New Roman"/>
          <w:sz w:val="20"/>
        </w:rPr>
        <w:t xml:space="preserve"> </w:t>
      </w:r>
      <w:proofErr w:type="spellStart"/>
      <w:r w:rsidRPr="00EA6394">
        <w:rPr>
          <w:rFonts w:ascii="Times New Roman" w:hAnsi="Times New Roman" w:cs="Times New Roman"/>
          <w:sz w:val="20"/>
        </w:rPr>
        <w:t>Azar</w:t>
      </w:r>
      <w:proofErr w:type="spellEnd"/>
      <w:r>
        <w:rPr>
          <w:rFonts w:ascii="Times New Roman" w:hAnsi="Times New Roman" w:cs="Times New Roman"/>
          <w:sz w:val="20"/>
        </w:rPr>
        <w:t xml:space="preserve"> is a researcher in </w:t>
      </w:r>
      <w:r w:rsidRPr="00EA6394">
        <w:rPr>
          <w:rFonts w:ascii="Times New Roman" w:hAnsi="Times New Roman" w:cs="Times New Roman"/>
          <w:sz w:val="20"/>
        </w:rPr>
        <w:t>Preventive Medicine and Public Health Research Center, Psychosocial Health Research Institute, Iran University of Medical Sciences, Tehran, Iran.</w:t>
      </w:r>
    </w:p>
    <w:sectPr w:rsidR="00EA6394" w:rsidRPr="00EA63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1:26:00Z" w:initials="SS">
    <w:p w:rsidR="006A1B0B" w:rsidRDefault="006A1B0B">
      <w:pPr>
        <w:pStyle w:val="CommentText"/>
      </w:pPr>
      <w:r>
        <w:rPr>
          <w:rStyle w:val="CommentReference"/>
        </w:rPr>
        <w:annotationRef/>
      </w:r>
      <w:r>
        <w:t>Already published. Please find the below links for your reference.</w:t>
      </w:r>
    </w:p>
    <w:p w:rsidR="006A1B0B" w:rsidRDefault="006A1B0B">
      <w:pPr>
        <w:pStyle w:val="CommentText"/>
      </w:pPr>
    </w:p>
    <w:p w:rsidR="006A1B0B" w:rsidRDefault="006A1B0B" w:rsidP="006A1B0B">
      <w:pPr>
        <w:pStyle w:val="CommentText"/>
        <w:numPr>
          <w:ilvl w:val="0"/>
          <w:numId w:val="1"/>
        </w:numPr>
      </w:pPr>
      <w:hyperlink r:id="rId1" w:history="1">
        <w:r w:rsidRPr="00112FB9">
          <w:rPr>
            <w:rStyle w:val="Hyperlink"/>
          </w:rPr>
          <w:t>https://www.researchgate.net/publication/351284548_Explaining_the_reasons_for_not_maintaining_the_health_guidelines_to_prevent_COVID-19_in_high-risk_jobs_a_qualitative_study_in_Iran</w:t>
        </w:r>
      </w:hyperlink>
    </w:p>
    <w:p w:rsidR="006A1B0B" w:rsidRDefault="006A1B0B" w:rsidP="006A1B0B">
      <w:pPr>
        <w:pStyle w:val="CommentText"/>
        <w:numPr>
          <w:ilvl w:val="0"/>
          <w:numId w:val="1"/>
        </w:numPr>
      </w:pPr>
      <w:hyperlink r:id="rId2" w:history="1">
        <w:r w:rsidRPr="00112FB9">
          <w:rPr>
            <w:rStyle w:val="Hyperlink"/>
          </w:rPr>
          <w:t>https://www.semanticscholar.org/paper/Explaining-the-reasons-for-not-maintaining-the-to-a-Soleimanvandiazar-Irandoost/20f339391c4d034b38aff4b54709f9e15c42e8eb</w:t>
        </w:r>
      </w:hyperlink>
    </w:p>
    <w:p w:rsidR="006A1B0B" w:rsidRDefault="006A1B0B" w:rsidP="006A1B0B">
      <w:pPr>
        <w:pStyle w:val="CommentText"/>
        <w:numPr>
          <w:ilvl w:val="0"/>
          <w:numId w:val="1"/>
        </w:numPr>
      </w:pPr>
      <w:hyperlink r:id="rId3" w:history="1">
        <w:r w:rsidRPr="00112FB9">
          <w:rPr>
            <w:rStyle w:val="Hyperlink"/>
          </w:rPr>
          <w:t>https://www.springermedizin.de/covid-19/explaining-the-reasons-for-not-maintaining-the-health-guidelines/19127048</w:t>
        </w:r>
      </w:hyperlink>
    </w:p>
    <w:p w:rsidR="006A1B0B" w:rsidRDefault="006A1B0B" w:rsidP="006A1B0B">
      <w:pPr>
        <w:pStyle w:val="CommentText"/>
        <w:numPr>
          <w:ilvl w:val="0"/>
          <w:numId w:val="1"/>
        </w:numPr>
      </w:pPr>
      <w:hyperlink r:id="rId4" w:history="1">
        <w:r w:rsidRPr="00112FB9">
          <w:rPr>
            <w:rStyle w:val="Hyperlink"/>
          </w:rPr>
          <w:t>https://www.frontiersin.org/articles/10.3389/fpubh.2021.778026/full</w:t>
        </w:r>
      </w:hyperlink>
    </w:p>
    <w:p w:rsidR="006A1B0B" w:rsidRDefault="006A1B0B" w:rsidP="006A1B0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771A8"/>
    <w:multiLevelType w:val="hybridMultilevel"/>
    <w:tmpl w:val="D98A0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394"/>
    <w:rsid w:val="003A2798"/>
    <w:rsid w:val="003B5CAE"/>
    <w:rsid w:val="006A1B0B"/>
    <w:rsid w:val="00EA6394"/>
    <w:rsid w:val="00EC24C8"/>
    <w:rsid w:val="00F33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1B0B"/>
    <w:rPr>
      <w:sz w:val="16"/>
      <w:szCs w:val="16"/>
    </w:rPr>
  </w:style>
  <w:style w:type="paragraph" w:styleId="CommentText">
    <w:name w:val="annotation text"/>
    <w:basedOn w:val="Normal"/>
    <w:link w:val="CommentTextChar"/>
    <w:uiPriority w:val="99"/>
    <w:semiHidden/>
    <w:unhideWhenUsed/>
    <w:rsid w:val="006A1B0B"/>
    <w:pPr>
      <w:spacing w:line="240" w:lineRule="auto"/>
    </w:pPr>
    <w:rPr>
      <w:sz w:val="20"/>
      <w:szCs w:val="20"/>
    </w:rPr>
  </w:style>
  <w:style w:type="character" w:customStyle="1" w:styleId="CommentTextChar">
    <w:name w:val="Comment Text Char"/>
    <w:basedOn w:val="DefaultParagraphFont"/>
    <w:link w:val="CommentText"/>
    <w:uiPriority w:val="99"/>
    <w:semiHidden/>
    <w:rsid w:val="006A1B0B"/>
    <w:rPr>
      <w:sz w:val="20"/>
      <w:szCs w:val="20"/>
    </w:rPr>
  </w:style>
  <w:style w:type="paragraph" w:styleId="CommentSubject">
    <w:name w:val="annotation subject"/>
    <w:basedOn w:val="CommentText"/>
    <w:next w:val="CommentText"/>
    <w:link w:val="CommentSubjectChar"/>
    <w:uiPriority w:val="99"/>
    <w:semiHidden/>
    <w:unhideWhenUsed/>
    <w:rsid w:val="006A1B0B"/>
    <w:rPr>
      <w:b/>
      <w:bCs/>
    </w:rPr>
  </w:style>
  <w:style w:type="character" w:customStyle="1" w:styleId="CommentSubjectChar">
    <w:name w:val="Comment Subject Char"/>
    <w:basedOn w:val="CommentTextChar"/>
    <w:link w:val="CommentSubject"/>
    <w:uiPriority w:val="99"/>
    <w:semiHidden/>
    <w:rsid w:val="006A1B0B"/>
    <w:rPr>
      <w:b/>
      <w:bCs/>
      <w:sz w:val="20"/>
      <w:szCs w:val="20"/>
    </w:rPr>
  </w:style>
  <w:style w:type="paragraph" w:styleId="BalloonText">
    <w:name w:val="Balloon Text"/>
    <w:basedOn w:val="Normal"/>
    <w:link w:val="BalloonTextChar"/>
    <w:uiPriority w:val="99"/>
    <w:semiHidden/>
    <w:unhideWhenUsed/>
    <w:rsid w:val="006A1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0B"/>
    <w:rPr>
      <w:rFonts w:ascii="Tahoma" w:hAnsi="Tahoma" w:cs="Tahoma"/>
      <w:sz w:val="16"/>
      <w:szCs w:val="16"/>
    </w:rPr>
  </w:style>
  <w:style w:type="character" w:styleId="Hyperlink">
    <w:name w:val="Hyperlink"/>
    <w:basedOn w:val="DefaultParagraphFont"/>
    <w:uiPriority w:val="99"/>
    <w:unhideWhenUsed/>
    <w:rsid w:val="006A1B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1B0B"/>
    <w:rPr>
      <w:sz w:val="16"/>
      <w:szCs w:val="16"/>
    </w:rPr>
  </w:style>
  <w:style w:type="paragraph" w:styleId="CommentText">
    <w:name w:val="annotation text"/>
    <w:basedOn w:val="Normal"/>
    <w:link w:val="CommentTextChar"/>
    <w:uiPriority w:val="99"/>
    <w:semiHidden/>
    <w:unhideWhenUsed/>
    <w:rsid w:val="006A1B0B"/>
    <w:pPr>
      <w:spacing w:line="240" w:lineRule="auto"/>
    </w:pPr>
    <w:rPr>
      <w:sz w:val="20"/>
      <w:szCs w:val="20"/>
    </w:rPr>
  </w:style>
  <w:style w:type="character" w:customStyle="1" w:styleId="CommentTextChar">
    <w:name w:val="Comment Text Char"/>
    <w:basedOn w:val="DefaultParagraphFont"/>
    <w:link w:val="CommentText"/>
    <w:uiPriority w:val="99"/>
    <w:semiHidden/>
    <w:rsid w:val="006A1B0B"/>
    <w:rPr>
      <w:sz w:val="20"/>
      <w:szCs w:val="20"/>
    </w:rPr>
  </w:style>
  <w:style w:type="paragraph" w:styleId="CommentSubject">
    <w:name w:val="annotation subject"/>
    <w:basedOn w:val="CommentText"/>
    <w:next w:val="CommentText"/>
    <w:link w:val="CommentSubjectChar"/>
    <w:uiPriority w:val="99"/>
    <w:semiHidden/>
    <w:unhideWhenUsed/>
    <w:rsid w:val="006A1B0B"/>
    <w:rPr>
      <w:b/>
      <w:bCs/>
    </w:rPr>
  </w:style>
  <w:style w:type="character" w:customStyle="1" w:styleId="CommentSubjectChar">
    <w:name w:val="Comment Subject Char"/>
    <w:basedOn w:val="CommentTextChar"/>
    <w:link w:val="CommentSubject"/>
    <w:uiPriority w:val="99"/>
    <w:semiHidden/>
    <w:rsid w:val="006A1B0B"/>
    <w:rPr>
      <w:b/>
      <w:bCs/>
      <w:sz w:val="20"/>
      <w:szCs w:val="20"/>
    </w:rPr>
  </w:style>
  <w:style w:type="paragraph" w:styleId="BalloonText">
    <w:name w:val="Balloon Text"/>
    <w:basedOn w:val="Normal"/>
    <w:link w:val="BalloonTextChar"/>
    <w:uiPriority w:val="99"/>
    <w:semiHidden/>
    <w:unhideWhenUsed/>
    <w:rsid w:val="006A1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0B"/>
    <w:rPr>
      <w:rFonts w:ascii="Tahoma" w:hAnsi="Tahoma" w:cs="Tahoma"/>
      <w:sz w:val="16"/>
      <w:szCs w:val="16"/>
    </w:rPr>
  </w:style>
  <w:style w:type="character" w:styleId="Hyperlink">
    <w:name w:val="Hyperlink"/>
    <w:basedOn w:val="DefaultParagraphFont"/>
    <w:uiPriority w:val="99"/>
    <w:unhideWhenUsed/>
    <w:rsid w:val="006A1B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pringermedizin.de/covid-19/explaining-the-reasons-for-not-maintaining-the-health-guidelines/19127048" TargetMode="External"/><Relationship Id="rId2" Type="http://schemas.openxmlformats.org/officeDocument/2006/relationships/hyperlink" Target="https://www.semanticscholar.org/paper/Explaining-the-reasons-for-not-maintaining-the-to-a-Soleimanvandiazar-Irandoost/20f339391c4d034b38aff4b54709f9e15c42e8eb" TargetMode="External"/><Relationship Id="rId1" Type="http://schemas.openxmlformats.org/officeDocument/2006/relationships/hyperlink" Target="https://www.researchgate.net/publication/351284548_Explaining_the_reasons_for_not_maintaining_the_health_guidelines_to_prevent_COVID-19_in_high-risk_jobs_a_qualitative_study_in_Iran" TargetMode="External"/><Relationship Id="rId4" Type="http://schemas.openxmlformats.org/officeDocument/2006/relationships/hyperlink" Target="https://www.frontiersin.org/articles/10.3389/fpubh.2021.778026/ful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2022-06-10T05:38:00Z</dcterms:created>
  <dcterms:modified xsi:type="dcterms:W3CDTF">2022-06-10T05:56:00Z</dcterms:modified>
</cp:coreProperties>
</file>