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CB9" w:rsidRDefault="007F35DE">
      <w:pPr>
        <w:rPr>
          <w:rFonts w:ascii="Times New Roman" w:hAnsi="Times New Roman" w:cs="Times New Roman"/>
          <w:b/>
          <w:sz w:val="32"/>
        </w:rPr>
      </w:pPr>
      <w:r w:rsidRPr="007F35DE">
        <w:rPr>
          <w:rFonts w:ascii="Times New Roman" w:hAnsi="Times New Roman" w:cs="Times New Roman"/>
          <w:b/>
          <w:sz w:val="32"/>
        </w:rPr>
        <w:t>Mapping of any anemia and severe anemia among children less than five years of age in Sub-Saharan Africa</w:t>
      </w:r>
    </w:p>
    <w:p w:rsidR="007F35DE" w:rsidRDefault="007F35DE">
      <w:pPr>
        <w:rPr>
          <w:rFonts w:ascii="Times New Roman" w:hAnsi="Times New Roman" w:cs="Times New Roman"/>
          <w:sz w:val="24"/>
        </w:rPr>
      </w:pPr>
      <w:proofErr w:type="spellStart"/>
      <w:r w:rsidRPr="007F35DE">
        <w:rPr>
          <w:rFonts w:ascii="Times New Roman" w:hAnsi="Times New Roman" w:cs="Times New Roman"/>
          <w:sz w:val="24"/>
        </w:rPr>
        <w:t>Bayuh</w:t>
      </w:r>
      <w:proofErr w:type="spellEnd"/>
      <w:r w:rsidRPr="007F35DE">
        <w:rPr>
          <w:rFonts w:ascii="Times New Roman" w:hAnsi="Times New Roman" w:cs="Times New Roman"/>
          <w:sz w:val="24"/>
        </w:rPr>
        <w:t xml:space="preserve"> </w:t>
      </w:r>
      <w:proofErr w:type="spellStart"/>
      <w:r w:rsidRPr="007F35DE">
        <w:rPr>
          <w:rFonts w:ascii="Times New Roman" w:hAnsi="Times New Roman" w:cs="Times New Roman"/>
          <w:sz w:val="24"/>
        </w:rPr>
        <w:t>Asmamaw</w:t>
      </w:r>
      <w:proofErr w:type="spellEnd"/>
      <w:r w:rsidRPr="007F35DE">
        <w:rPr>
          <w:rFonts w:ascii="Times New Roman" w:hAnsi="Times New Roman" w:cs="Times New Roman"/>
          <w:sz w:val="24"/>
        </w:rPr>
        <w:t xml:space="preserve"> </w:t>
      </w:r>
      <w:proofErr w:type="spellStart"/>
      <w:r w:rsidRPr="007F35DE">
        <w:rPr>
          <w:rFonts w:ascii="Times New Roman" w:hAnsi="Times New Roman" w:cs="Times New Roman"/>
          <w:sz w:val="24"/>
        </w:rPr>
        <w:t>Hailu</w:t>
      </w:r>
      <w:proofErr w:type="spellEnd"/>
    </w:p>
    <w:p w:rsidR="007F35DE" w:rsidRDefault="007F35DE" w:rsidP="007F35DE">
      <w:pPr>
        <w:rPr>
          <w:rFonts w:ascii="Times New Roman" w:hAnsi="Times New Roman" w:cs="Times New Roman"/>
        </w:rPr>
      </w:pPr>
      <w:proofErr w:type="spellStart"/>
      <w:r w:rsidRPr="007F35DE">
        <w:rPr>
          <w:rFonts w:ascii="Times New Roman" w:hAnsi="Times New Roman" w:cs="Times New Roman"/>
        </w:rPr>
        <w:t>Wollo</w:t>
      </w:r>
      <w:proofErr w:type="spellEnd"/>
      <w:r w:rsidRPr="007F35DE">
        <w:rPr>
          <w:rFonts w:ascii="Times New Roman" w:hAnsi="Times New Roman" w:cs="Times New Roman"/>
        </w:rPr>
        <w:t xml:space="preserve"> University, </w:t>
      </w:r>
      <w:r w:rsidRPr="007F35DE">
        <w:rPr>
          <w:rFonts w:ascii="Times New Roman" w:hAnsi="Times New Roman" w:cs="Times New Roman"/>
        </w:rPr>
        <w:t xml:space="preserve">Ethiopia </w:t>
      </w:r>
    </w:p>
    <w:p w:rsidR="007F35DE" w:rsidRPr="007F35DE" w:rsidRDefault="007F35DE" w:rsidP="007F35DE">
      <w:pPr>
        <w:jc w:val="center"/>
        <w:rPr>
          <w:rFonts w:ascii="Times New Roman" w:hAnsi="Times New Roman" w:cs="Times New Roman"/>
          <w:b/>
          <w:sz w:val="24"/>
        </w:rPr>
      </w:pPr>
      <w:r w:rsidRPr="007F35DE">
        <w:rPr>
          <w:rFonts w:ascii="Times New Roman" w:hAnsi="Times New Roman" w:cs="Times New Roman"/>
          <w:b/>
          <w:sz w:val="24"/>
        </w:rPr>
        <w:t>Abstract</w:t>
      </w:r>
    </w:p>
    <w:p w:rsidR="007F35DE" w:rsidRPr="007F35DE" w:rsidRDefault="007F35DE" w:rsidP="007F35DE">
      <w:pPr>
        <w:jc w:val="both"/>
        <w:rPr>
          <w:rFonts w:ascii="Times New Roman" w:hAnsi="Times New Roman" w:cs="Times New Roman"/>
          <w:sz w:val="20"/>
        </w:rPr>
      </w:pPr>
      <w:r w:rsidRPr="00B216B5">
        <w:rPr>
          <w:rFonts w:ascii="Times New Roman" w:hAnsi="Times New Roman" w:cs="Times New Roman"/>
          <w:b/>
          <w:sz w:val="20"/>
        </w:rPr>
        <w:t>Background:</w:t>
      </w:r>
      <w:r w:rsidRPr="007F35DE">
        <w:rPr>
          <w:rFonts w:ascii="Times New Roman" w:hAnsi="Times New Roman" w:cs="Times New Roman"/>
          <w:sz w:val="20"/>
        </w:rPr>
        <w:t xml:space="preserve"> Anemia in children is a public health concern in </w:t>
      </w:r>
      <w:r w:rsidR="00B216B5" w:rsidRPr="007F35DE">
        <w:rPr>
          <w:rFonts w:ascii="Times New Roman" w:hAnsi="Times New Roman" w:cs="Times New Roman"/>
          <w:sz w:val="20"/>
        </w:rPr>
        <w:t>Sub-Saharan</w:t>
      </w:r>
      <w:r w:rsidRPr="007F35DE">
        <w:rPr>
          <w:rFonts w:ascii="Times New Roman" w:hAnsi="Times New Roman" w:cs="Times New Roman"/>
          <w:sz w:val="20"/>
        </w:rPr>
        <w:t xml:space="preserve"> African (SSA) countries in general, but its spatial distribution remains unknown. Identifying anemia hotspots and the associated factors is critical to monitor and prioritize successful interventions, but also to target interventions to those with the greatest need.</w:t>
      </w:r>
    </w:p>
    <w:p w:rsidR="007F35DE" w:rsidRPr="007F35DE" w:rsidRDefault="007F35DE" w:rsidP="007F35DE">
      <w:pPr>
        <w:jc w:val="both"/>
        <w:rPr>
          <w:rFonts w:ascii="Times New Roman" w:hAnsi="Times New Roman" w:cs="Times New Roman"/>
          <w:sz w:val="20"/>
        </w:rPr>
      </w:pPr>
      <w:r w:rsidRPr="00B216B5">
        <w:rPr>
          <w:rFonts w:ascii="Times New Roman" w:hAnsi="Times New Roman" w:cs="Times New Roman"/>
          <w:b/>
          <w:sz w:val="20"/>
        </w:rPr>
        <w:t>Method:</w:t>
      </w:r>
      <w:r w:rsidRPr="007F35DE">
        <w:rPr>
          <w:rFonts w:ascii="Times New Roman" w:hAnsi="Times New Roman" w:cs="Times New Roman"/>
          <w:sz w:val="20"/>
        </w:rPr>
        <w:t xml:space="preserve"> We </w:t>
      </w:r>
      <w:proofErr w:type="spellStart"/>
      <w:r w:rsidRPr="007F35DE">
        <w:rPr>
          <w:rFonts w:ascii="Times New Roman" w:hAnsi="Times New Roman" w:cs="Times New Roman"/>
          <w:sz w:val="20"/>
        </w:rPr>
        <w:t>analysed</w:t>
      </w:r>
      <w:proofErr w:type="spellEnd"/>
      <w:r w:rsidRPr="007F35DE">
        <w:rPr>
          <w:rFonts w:ascii="Times New Roman" w:hAnsi="Times New Roman" w:cs="Times New Roman"/>
          <w:sz w:val="20"/>
        </w:rPr>
        <w:t xml:space="preserve"> data from nationally representative Demographic and Health Surveys (DHS) administrated in 30 Sub-Saharan African countries, which comprised a total of 127,608 children (6-59 months of age). Spatial heterogeneity analysis was conducted using interpolation methods, </w:t>
      </w:r>
      <w:proofErr w:type="spellStart"/>
      <w:r w:rsidRPr="007F35DE">
        <w:rPr>
          <w:rFonts w:ascii="Times New Roman" w:hAnsi="Times New Roman" w:cs="Times New Roman"/>
          <w:sz w:val="20"/>
        </w:rPr>
        <w:t>Kulldorff</w:t>
      </w:r>
      <w:proofErr w:type="spellEnd"/>
      <w:r w:rsidRPr="007F35DE">
        <w:rPr>
          <w:rFonts w:ascii="Times New Roman" w:hAnsi="Times New Roman" w:cs="Times New Roman"/>
          <w:sz w:val="20"/>
        </w:rPr>
        <w:t xml:space="preserve"> scan statistics and hotspot regions were identified. Using multilevel logistic regression, factors associated with any and severe anemia were identified. A mixed-effect logistic regression model was run, and </w:t>
      </w:r>
      <w:r w:rsidR="00B216B5" w:rsidRPr="007F35DE">
        <w:rPr>
          <w:rFonts w:ascii="Times New Roman" w:hAnsi="Times New Roman" w:cs="Times New Roman"/>
          <w:sz w:val="20"/>
        </w:rPr>
        <w:t xml:space="preserve">Adjusted Odds Ratios </w:t>
      </w:r>
      <w:r w:rsidRPr="007F35DE">
        <w:rPr>
          <w:rFonts w:ascii="Times New Roman" w:hAnsi="Times New Roman" w:cs="Times New Roman"/>
          <w:sz w:val="20"/>
        </w:rPr>
        <w:t>(AORs) with corresponding 95% confidence intervals were estimated.</w:t>
      </w:r>
    </w:p>
    <w:p w:rsidR="007F35DE" w:rsidRPr="007F35DE" w:rsidRDefault="007F35DE" w:rsidP="007F35DE">
      <w:pPr>
        <w:jc w:val="both"/>
        <w:rPr>
          <w:rFonts w:ascii="Times New Roman" w:hAnsi="Times New Roman" w:cs="Times New Roman"/>
          <w:sz w:val="20"/>
        </w:rPr>
      </w:pPr>
      <w:r w:rsidRPr="00B216B5">
        <w:rPr>
          <w:rFonts w:ascii="Times New Roman" w:hAnsi="Times New Roman" w:cs="Times New Roman"/>
          <w:b/>
          <w:sz w:val="20"/>
        </w:rPr>
        <w:t>Results:</w:t>
      </w:r>
      <w:r w:rsidRPr="007F35DE">
        <w:rPr>
          <w:rFonts w:ascii="Times New Roman" w:hAnsi="Times New Roman" w:cs="Times New Roman"/>
          <w:sz w:val="20"/>
        </w:rPr>
        <w:t xml:space="preserve"> The prevalence of any anemia (64%) was very high. Severe anemia was prevalent in 2.9% of the children. The prevalence of anemia increased in 10 of the 22 countries during the period of 2010-2020. Anemia was a severe public health conce</w:t>
      </w:r>
      <w:r w:rsidR="00B216B5">
        <w:rPr>
          <w:rFonts w:ascii="Times New Roman" w:hAnsi="Times New Roman" w:cs="Times New Roman"/>
          <w:sz w:val="20"/>
        </w:rPr>
        <w:t>rn (&gt;40%), except in Rwanda (37</w:t>
      </w:r>
      <w:r w:rsidRPr="007F35DE">
        <w:rPr>
          <w:rFonts w:ascii="Times New Roman" w:hAnsi="Times New Roman" w:cs="Times New Roman"/>
          <w:sz w:val="20"/>
        </w:rPr>
        <w:t xml:space="preserve">%) and Zimbabwe (37%), where it was a moderate public health problem. Being male, younger, stunted, and wasted significantly increased the odds of anemia (P&lt;0.05). Maternal factors like antenatal-care coverage, age, and education level were significantly associated with child anemia. </w:t>
      </w:r>
    </w:p>
    <w:p w:rsidR="007F35DE" w:rsidRDefault="007F35DE" w:rsidP="007F35DE">
      <w:pPr>
        <w:jc w:val="both"/>
        <w:rPr>
          <w:rFonts w:ascii="Times New Roman" w:hAnsi="Times New Roman" w:cs="Times New Roman"/>
          <w:sz w:val="20"/>
        </w:rPr>
      </w:pPr>
      <w:r w:rsidRPr="00B216B5">
        <w:rPr>
          <w:rFonts w:ascii="Times New Roman" w:hAnsi="Times New Roman" w:cs="Times New Roman"/>
          <w:b/>
          <w:sz w:val="20"/>
        </w:rPr>
        <w:t>Conclusion:</w:t>
      </w:r>
      <w:r w:rsidRPr="007F35DE">
        <w:rPr>
          <w:rFonts w:ascii="Times New Roman" w:hAnsi="Times New Roman" w:cs="Times New Roman"/>
          <w:sz w:val="20"/>
        </w:rPr>
        <w:t xml:space="preserve"> Anemia remains a severe public health concern in most parts of SSA, with significant clustering. </w:t>
      </w:r>
      <w:proofErr w:type="spellStart"/>
      <w:r w:rsidRPr="007F35DE">
        <w:rPr>
          <w:rFonts w:ascii="Times New Roman" w:hAnsi="Times New Roman" w:cs="Times New Roman"/>
          <w:sz w:val="20"/>
        </w:rPr>
        <w:t>Multisectoral</w:t>
      </w:r>
      <w:proofErr w:type="spellEnd"/>
      <w:r w:rsidRPr="007F35DE">
        <w:rPr>
          <w:rFonts w:ascii="Times New Roman" w:hAnsi="Times New Roman" w:cs="Times New Roman"/>
          <w:sz w:val="20"/>
        </w:rPr>
        <w:t xml:space="preserve"> interventions that improve maternal and child nutrition and health are urgently needed. The spatial analyses presented in this study can support the design and prioritization of interventions. </w:t>
      </w:r>
    </w:p>
    <w:p w:rsidR="007F35DE" w:rsidRPr="007F35DE" w:rsidRDefault="007F35DE" w:rsidP="007F35DE">
      <w:pPr>
        <w:rPr>
          <w:rFonts w:ascii="Times New Roman" w:hAnsi="Times New Roman" w:cs="Times New Roman"/>
          <w:b/>
          <w:sz w:val="24"/>
        </w:rPr>
      </w:pPr>
      <w:r w:rsidRPr="007F35DE">
        <w:rPr>
          <w:rFonts w:ascii="Times New Roman" w:hAnsi="Times New Roman" w:cs="Times New Roman"/>
          <w:b/>
          <w:sz w:val="24"/>
        </w:rPr>
        <w:t>Biography</w:t>
      </w:r>
    </w:p>
    <w:p w:rsidR="007F35DE" w:rsidRPr="007F35DE" w:rsidRDefault="007F35DE" w:rsidP="007207B2">
      <w:pPr>
        <w:jc w:val="both"/>
        <w:rPr>
          <w:rFonts w:ascii="Times New Roman" w:hAnsi="Times New Roman" w:cs="Times New Roman"/>
          <w:sz w:val="24"/>
        </w:rPr>
      </w:pPr>
      <w:proofErr w:type="spellStart"/>
      <w:r w:rsidRPr="007F35DE">
        <w:rPr>
          <w:rFonts w:ascii="Times New Roman" w:hAnsi="Times New Roman" w:cs="Times New Roman"/>
          <w:sz w:val="20"/>
        </w:rPr>
        <w:t>Bayuh</w:t>
      </w:r>
      <w:proofErr w:type="spellEnd"/>
      <w:r w:rsidRPr="007F35DE">
        <w:rPr>
          <w:rFonts w:ascii="Times New Roman" w:hAnsi="Times New Roman" w:cs="Times New Roman"/>
          <w:sz w:val="20"/>
        </w:rPr>
        <w:t xml:space="preserve"> </w:t>
      </w:r>
      <w:proofErr w:type="spellStart"/>
      <w:r w:rsidRPr="007F35DE">
        <w:rPr>
          <w:rFonts w:ascii="Times New Roman" w:hAnsi="Times New Roman" w:cs="Times New Roman"/>
          <w:sz w:val="20"/>
        </w:rPr>
        <w:t>Asmamaw</w:t>
      </w:r>
      <w:proofErr w:type="spellEnd"/>
      <w:r w:rsidRPr="007F35DE">
        <w:rPr>
          <w:rFonts w:ascii="Times New Roman" w:hAnsi="Times New Roman" w:cs="Times New Roman"/>
          <w:sz w:val="20"/>
        </w:rPr>
        <w:t xml:space="preserve"> </w:t>
      </w:r>
      <w:proofErr w:type="spellStart"/>
      <w:r w:rsidRPr="007F35DE">
        <w:rPr>
          <w:rFonts w:ascii="Times New Roman" w:hAnsi="Times New Roman" w:cs="Times New Roman"/>
          <w:sz w:val="20"/>
        </w:rPr>
        <w:t>Hailu</w:t>
      </w:r>
      <w:proofErr w:type="spellEnd"/>
      <w:r w:rsidRPr="007F35DE">
        <w:rPr>
          <w:rFonts w:ascii="Times New Roman" w:hAnsi="Times New Roman" w:cs="Times New Roman"/>
          <w:sz w:val="20"/>
        </w:rPr>
        <w:t xml:space="preserve"> is an Epidemiologist and Biostatistician at </w:t>
      </w:r>
      <w:proofErr w:type="spellStart"/>
      <w:r w:rsidRPr="007F35DE">
        <w:rPr>
          <w:rFonts w:ascii="Times New Roman" w:hAnsi="Times New Roman" w:cs="Times New Roman"/>
          <w:sz w:val="20"/>
        </w:rPr>
        <w:t>Wollo</w:t>
      </w:r>
      <w:proofErr w:type="spellEnd"/>
      <w:r w:rsidRPr="007F35DE">
        <w:rPr>
          <w:rFonts w:ascii="Times New Roman" w:hAnsi="Times New Roman" w:cs="Times New Roman"/>
          <w:sz w:val="20"/>
        </w:rPr>
        <w:t xml:space="preserve"> University.</w:t>
      </w:r>
      <w:r w:rsidR="00393AB4">
        <w:rPr>
          <w:rFonts w:ascii="Times New Roman" w:hAnsi="Times New Roman" w:cs="Times New Roman"/>
          <w:sz w:val="20"/>
        </w:rPr>
        <w:t xml:space="preserve"> </w:t>
      </w:r>
      <w:proofErr w:type="spellStart"/>
      <w:r w:rsidRPr="007F35DE">
        <w:rPr>
          <w:rFonts w:ascii="Times New Roman" w:hAnsi="Times New Roman" w:cs="Times New Roman"/>
          <w:sz w:val="20"/>
        </w:rPr>
        <w:t>Bayuh</w:t>
      </w:r>
      <w:proofErr w:type="spellEnd"/>
      <w:r w:rsidRPr="007F35DE">
        <w:rPr>
          <w:rFonts w:ascii="Times New Roman" w:hAnsi="Times New Roman" w:cs="Times New Roman"/>
          <w:sz w:val="20"/>
        </w:rPr>
        <w:t xml:space="preserve"> </w:t>
      </w:r>
      <w:proofErr w:type="spellStart"/>
      <w:r w:rsidRPr="007F35DE">
        <w:rPr>
          <w:rFonts w:ascii="Times New Roman" w:hAnsi="Times New Roman" w:cs="Times New Roman"/>
          <w:sz w:val="20"/>
        </w:rPr>
        <w:t>Asmamaw</w:t>
      </w:r>
      <w:proofErr w:type="spellEnd"/>
      <w:r w:rsidRPr="007F35DE">
        <w:rPr>
          <w:rFonts w:ascii="Times New Roman" w:hAnsi="Times New Roman" w:cs="Times New Roman"/>
          <w:sz w:val="20"/>
        </w:rPr>
        <w:t xml:space="preserve"> has his expertise in evaluation and passion in improving the health and wellbeing. His open and contextual evaluation of geographic and non-geographic models based on responsive constructivists creates new pathways for improving health care. He has been modeled in research after years of experience in evaluation, and administration in health, agriculture, and education sectors. He has ample knowledge of different open source GIS and other statistical software. He used to link his software ability and his health education background and experience, and he can easily show health problems for planners and decision-makers as well as any concerned</w:t>
      </w:r>
      <w:bookmarkStart w:id="0" w:name="_GoBack"/>
      <w:bookmarkEnd w:id="0"/>
      <w:r w:rsidRPr="007F35DE">
        <w:rPr>
          <w:rFonts w:ascii="Times New Roman" w:hAnsi="Times New Roman" w:cs="Times New Roman"/>
          <w:sz w:val="20"/>
        </w:rPr>
        <w:t xml:space="preserve"> bodies.</w:t>
      </w:r>
    </w:p>
    <w:sectPr w:rsidR="007F35DE" w:rsidRPr="007F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5DE"/>
    <w:rsid w:val="00050CB9"/>
    <w:rsid w:val="00393AB4"/>
    <w:rsid w:val="007207B2"/>
    <w:rsid w:val="007F35DE"/>
    <w:rsid w:val="00B216B5"/>
    <w:rsid w:val="00D2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2022-06-10T05:58:00Z</dcterms:created>
  <dcterms:modified xsi:type="dcterms:W3CDTF">2022-06-10T06:44:00Z</dcterms:modified>
</cp:coreProperties>
</file>