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29A876" w14:textId="78E0814E" w:rsidR="00BB5AD8" w:rsidRPr="002D2026" w:rsidRDefault="00050459" w:rsidP="002D2026">
      <w:pPr>
        <w:spacing w:after="100" w:afterAutospacing="1"/>
        <w:rPr>
          <w:rFonts w:ascii="Times New Roman" w:hAnsi="Times New Roman" w:cs="Times New Roman"/>
          <w:b/>
          <w:sz w:val="32"/>
        </w:rPr>
      </w:pPr>
      <w:r w:rsidRPr="002D2026">
        <w:rPr>
          <w:rFonts w:ascii="Times New Roman" w:hAnsi="Times New Roman" w:cs="Times New Roman"/>
          <w:b/>
          <w:sz w:val="32"/>
        </w:rPr>
        <w:t xml:space="preserve">Polio </w:t>
      </w:r>
      <w:r w:rsidR="002D2026" w:rsidRPr="002D2026">
        <w:rPr>
          <w:rFonts w:ascii="Times New Roman" w:hAnsi="Times New Roman" w:cs="Times New Roman"/>
          <w:b/>
          <w:sz w:val="32"/>
        </w:rPr>
        <w:t>v</w:t>
      </w:r>
      <w:r w:rsidRPr="002D2026">
        <w:rPr>
          <w:rFonts w:ascii="Times New Roman" w:hAnsi="Times New Roman" w:cs="Times New Roman"/>
          <w:b/>
          <w:sz w:val="32"/>
        </w:rPr>
        <w:t xml:space="preserve">accination induced immunity against COVID-19 </w:t>
      </w:r>
      <w:r w:rsidR="004C7F8B" w:rsidRPr="002D2026">
        <w:rPr>
          <w:rFonts w:ascii="Times New Roman" w:hAnsi="Times New Roman" w:cs="Times New Roman"/>
          <w:b/>
          <w:sz w:val="32"/>
        </w:rPr>
        <w:t>(N=</w:t>
      </w:r>
      <w:r w:rsidR="00396807" w:rsidRPr="002D2026">
        <w:rPr>
          <w:rFonts w:ascii="Times New Roman" w:hAnsi="Times New Roman" w:cs="Times New Roman"/>
          <w:b/>
          <w:sz w:val="32"/>
        </w:rPr>
        <w:t>300</w:t>
      </w:r>
      <w:r w:rsidR="004C7F8B" w:rsidRPr="002D2026">
        <w:rPr>
          <w:rFonts w:ascii="Times New Roman" w:hAnsi="Times New Roman" w:cs="Times New Roman"/>
          <w:b/>
          <w:sz w:val="32"/>
        </w:rPr>
        <w:t>)</w:t>
      </w:r>
      <w:r w:rsidR="00396807" w:rsidRPr="002D2026">
        <w:rPr>
          <w:rFonts w:ascii="Times New Roman" w:hAnsi="Times New Roman" w:cs="Times New Roman"/>
          <w:b/>
          <w:sz w:val="32"/>
        </w:rPr>
        <w:t xml:space="preserve"> clinical trial</w:t>
      </w:r>
      <w:r w:rsidR="004C7F8B" w:rsidRPr="002D2026">
        <w:rPr>
          <w:rFonts w:ascii="Times New Roman" w:hAnsi="Times New Roman" w:cs="Times New Roman"/>
          <w:b/>
          <w:sz w:val="32"/>
        </w:rPr>
        <w:t xml:space="preserve"> </w:t>
      </w:r>
      <w:r w:rsidR="007309E4" w:rsidRPr="002D2026">
        <w:rPr>
          <w:rFonts w:ascii="Times New Roman" w:hAnsi="Times New Roman" w:cs="Times New Roman"/>
          <w:b/>
          <w:sz w:val="32"/>
        </w:rPr>
        <w:t>(IND 23321)</w:t>
      </w:r>
    </w:p>
    <w:p w14:paraId="1C14456E" w14:textId="126EB8AF" w:rsidR="00AF69EA" w:rsidRPr="00D1321C" w:rsidRDefault="00AF69EA" w:rsidP="002D2026">
      <w:pPr>
        <w:spacing w:after="120"/>
        <w:rPr>
          <w:rFonts w:ascii="Times New Roman" w:hAnsi="Times New Roman" w:cs="Times New Roman"/>
          <w:color w:val="000000"/>
        </w:rPr>
      </w:pPr>
      <w:proofErr w:type="spellStart"/>
      <w:proofErr w:type="gramStart"/>
      <w:r w:rsidRPr="00D1321C">
        <w:rPr>
          <w:rFonts w:ascii="Times New Roman" w:hAnsi="Times New Roman" w:cs="Times New Roman"/>
          <w:color w:val="000000"/>
        </w:rPr>
        <w:t>Qiyi</w:t>
      </w:r>
      <w:proofErr w:type="spellEnd"/>
      <w:r w:rsidRPr="00D1321C">
        <w:rPr>
          <w:rFonts w:ascii="Times New Roman" w:hAnsi="Times New Roman" w:cs="Times New Roman"/>
          <w:color w:val="000000"/>
        </w:rPr>
        <w:t>(</w:t>
      </w:r>
      <w:proofErr w:type="spellStart"/>
      <w:proofErr w:type="gramEnd"/>
      <w:r w:rsidRPr="00D1321C">
        <w:rPr>
          <w:rFonts w:ascii="Times New Roman" w:hAnsi="Times New Roman" w:cs="Times New Roman"/>
          <w:color w:val="000000"/>
        </w:rPr>
        <w:t>chee</w:t>
      </w:r>
      <w:proofErr w:type="spellEnd"/>
      <w:r w:rsidRPr="00D1321C">
        <w:rPr>
          <w:rFonts w:ascii="Times New Roman" w:hAnsi="Times New Roman" w:cs="Times New Roman"/>
          <w:color w:val="000000"/>
        </w:rPr>
        <w:t>-e)</w:t>
      </w:r>
    </w:p>
    <w:p w14:paraId="203658A2" w14:textId="0B2C99CE" w:rsidR="00D1321C" w:rsidRPr="002D2026" w:rsidRDefault="00D1321C" w:rsidP="002D2026">
      <w:pPr>
        <w:spacing w:after="100" w:afterAutospacing="1"/>
        <w:rPr>
          <w:rFonts w:ascii="Times New Roman" w:hAnsi="Times New Roman" w:cs="Times New Roman"/>
          <w:sz w:val="22"/>
        </w:rPr>
      </w:pPr>
      <w:r w:rsidRPr="002D2026">
        <w:rPr>
          <w:rFonts w:ascii="Times New Roman" w:eastAsia="Calibri" w:hAnsi="Times New Roman" w:cs="Times New Roman"/>
          <w:sz w:val="22"/>
        </w:rPr>
        <w:t>San Diego, USA</w:t>
      </w:r>
    </w:p>
    <w:p w14:paraId="1C30883E" w14:textId="0104182E" w:rsidR="00396807" w:rsidRPr="002D2026" w:rsidRDefault="002D2026" w:rsidP="002D2026">
      <w:pPr>
        <w:spacing w:after="100" w:afterAutospacing="1"/>
        <w:jc w:val="center"/>
        <w:rPr>
          <w:rFonts w:ascii="Times New Roman" w:hAnsi="Times New Roman" w:cs="Times New Roman"/>
          <w:b/>
        </w:rPr>
      </w:pPr>
      <w:r w:rsidRPr="002D2026">
        <w:rPr>
          <w:rFonts w:ascii="Times New Roman" w:hAnsi="Times New Roman" w:cs="Times New Roman"/>
          <w:b/>
        </w:rPr>
        <w:t>Abstract</w:t>
      </w:r>
    </w:p>
    <w:p w14:paraId="0CE7700B" w14:textId="77777777" w:rsidR="00396807" w:rsidRPr="002D2026" w:rsidRDefault="00396807" w:rsidP="002D2026">
      <w:pPr>
        <w:spacing w:after="240"/>
        <w:jc w:val="both"/>
        <w:rPr>
          <w:rFonts w:ascii="Times New Roman" w:eastAsia="Calibri" w:hAnsi="Times New Roman" w:cs="Times New Roman"/>
          <w:sz w:val="20"/>
        </w:rPr>
      </w:pPr>
      <w:r w:rsidRPr="002D2026">
        <w:rPr>
          <w:rFonts w:ascii="Times New Roman" w:eastAsia="Calibri" w:hAnsi="Times New Roman" w:cs="Times New Roman"/>
          <w:b/>
          <w:sz w:val="20"/>
        </w:rPr>
        <w:t xml:space="preserve">Background: </w:t>
      </w:r>
      <w:r w:rsidRPr="002D2026">
        <w:rPr>
          <w:rFonts w:ascii="Times New Roman" w:eastAsia="Calibri" w:hAnsi="Times New Roman" w:cs="Times New Roman"/>
          <w:sz w:val="20"/>
        </w:rPr>
        <w:t xml:space="preserve">Molecular evidence has shown poliovirus vaccination induces an adaptive humoral immune response. </w:t>
      </w:r>
      <w:r w:rsidRPr="002D2026">
        <w:rPr>
          <w:rFonts w:ascii="Times New Roman" w:eastAsia="Calibri" w:hAnsi="Times New Roman" w:cs="Times New Roman"/>
          <w:i/>
          <w:sz w:val="20"/>
        </w:rPr>
        <w:t xml:space="preserve">In vitro </w:t>
      </w:r>
      <w:r w:rsidRPr="002D2026">
        <w:rPr>
          <w:rFonts w:ascii="Times New Roman" w:eastAsia="Calibri" w:hAnsi="Times New Roman" w:cs="Times New Roman"/>
          <w:sz w:val="20"/>
        </w:rPr>
        <w:t xml:space="preserve">experiments of polio-immune sera have been examined retrospectively in the context of the COVID-19 pandemic, but the induced antibodies that may cross-react with SARS-CoV-2 have yet to be analyzed in a controlled and prospective manner. </w:t>
      </w:r>
    </w:p>
    <w:p w14:paraId="20AD103A" w14:textId="77777777" w:rsidR="00396807" w:rsidRPr="002D2026" w:rsidRDefault="00396807" w:rsidP="002D2026">
      <w:pPr>
        <w:spacing w:after="240"/>
        <w:jc w:val="both"/>
        <w:rPr>
          <w:rFonts w:ascii="Times New Roman" w:eastAsia="Calibri" w:hAnsi="Times New Roman" w:cs="Times New Roman"/>
          <w:sz w:val="20"/>
        </w:rPr>
      </w:pPr>
      <w:r w:rsidRPr="002D2026">
        <w:rPr>
          <w:rFonts w:ascii="Times New Roman" w:eastAsia="Calibri" w:hAnsi="Times New Roman" w:cs="Times New Roman"/>
          <w:b/>
          <w:sz w:val="20"/>
        </w:rPr>
        <w:t xml:space="preserve">Objective: </w:t>
      </w:r>
      <w:r w:rsidRPr="002D2026">
        <w:rPr>
          <w:rFonts w:ascii="Times New Roman" w:eastAsia="Calibri" w:hAnsi="Times New Roman" w:cs="Times New Roman"/>
          <w:sz w:val="20"/>
        </w:rPr>
        <w:t>To evaluate and characterize the immune response to SARS-CoV-2 elicited in adults by IPV (inactivated poliovirus vaccine).</w:t>
      </w:r>
    </w:p>
    <w:p w14:paraId="7B795024" w14:textId="77777777" w:rsidR="00396807" w:rsidRPr="002D2026" w:rsidRDefault="00396807" w:rsidP="002D2026">
      <w:pPr>
        <w:spacing w:after="240"/>
        <w:jc w:val="both"/>
        <w:rPr>
          <w:rFonts w:ascii="Times New Roman" w:eastAsia="Calibri" w:hAnsi="Times New Roman" w:cs="Times New Roman"/>
          <w:sz w:val="20"/>
        </w:rPr>
      </w:pPr>
      <w:r w:rsidRPr="002D2026">
        <w:rPr>
          <w:rFonts w:ascii="Times New Roman" w:eastAsia="Calibri" w:hAnsi="Times New Roman" w:cs="Times New Roman"/>
          <w:b/>
          <w:sz w:val="20"/>
        </w:rPr>
        <w:t xml:space="preserve">Design: </w:t>
      </w:r>
      <w:r w:rsidRPr="002D2026">
        <w:rPr>
          <w:rFonts w:ascii="Times New Roman" w:eastAsia="Calibri" w:hAnsi="Times New Roman" w:cs="Times New Roman"/>
          <w:sz w:val="20"/>
        </w:rPr>
        <w:t>Single arm, open-label, pre-post vaccine immunogenicity trial</w:t>
      </w:r>
    </w:p>
    <w:p w14:paraId="5C2892F1" w14:textId="7EE37943" w:rsidR="00396807" w:rsidRPr="002D2026" w:rsidRDefault="00396807" w:rsidP="002D2026">
      <w:pPr>
        <w:spacing w:after="240"/>
        <w:jc w:val="both"/>
        <w:rPr>
          <w:rFonts w:ascii="Times New Roman" w:eastAsia="Calibri" w:hAnsi="Times New Roman" w:cs="Times New Roman"/>
          <w:sz w:val="20"/>
        </w:rPr>
      </w:pPr>
      <w:r w:rsidRPr="002D2026">
        <w:rPr>
          <w:rFonts w:ascii="Times New Roman" w:eastAsia="Calibri" w:hAnsi="Times New Roman" w:cs="Times New Roman"/>
          <w:b/>
          <w:sz w:val="20"/>
        </w:rPr>
        <w:t xml:space="preserve">Setting: </w:t>
      </w:r>
      <w:r w:rsidRPr="002D2026">
        <w:rPr>
          <w:rFonts w:ascii="Times New Roman" w:eastAsia="Calibri" w:hAnsi="Times New Roman" w:cs="Times New Roman"/>
          <w:sz w:val="20"/>
        </w:rPr>
        <w:t xml:space="preserve">San Diego, CA (USA), November 2020 </w:t>
      </w:r>
      <w:r w:rsidR="00690AAE" w:rsidRPr="002D2026">
        <w:rPr>
          <w:rFonts w:ascii="Times New Roman" w:eastAsia="Calibri" w:hAnsi="Times New Roman" w:cs="Times New Roman"/>
          <w:sz w:val="20"/>
        </w:rPr>
        <w:t>on going.</w:t>
      </w:r>
    </w:p>
    <w:p w14:paraId="00451335" w14:textId="3EFE0336" w:rsidR="00396807" w:rsidRPr="002D2026" w:rsidRDefault="00396807" w:rsidP="002D2026">
      <w:pPr>
        <w:spacing w:after="240"/>
        <w:jc w:val="both"/>
        <w:rPr>
          <w:rFonts w:ascii="Times New Roman" w:eastAsia="Calibri" w:hAnsi="Times New Roman" w:cs="Times New Roman"/>
          <w:sz w:val="20"/>
        </w:rPr>
      </w:pPr>
      <w:r w:rsidRPr="002D2026">
        <w:rPr>
          <w:rFonts w:ascii="Times New Roman" w:eastAsia="Calibri" w:hAnsi="Times New Roman" w:cs="Times New Roman"/>
          <w:b/>
          <w:sz w:val="20"/>
        </w:rPr>
        <w:t xml:space="preserve">Participants: </w:t>
      </w:r>
      <w:r w:rsidRPr="002D2026">
        <w:rPr>
          <w:rFonts w:ascii="Times New Roman" w:eastAsia="Calibri" w:hAnsi="Times New Roman" w:cs="Times New Roman"/>
          <w:sz w:val="20"/>
        </w:rPr>
        <w:t>Adults between the ages of 18-80 with no active infectiou</w:t>
      </w:r>
      <w:r w:rsidR="002803C9">
        <w:rPr>
          <w:rFonts w:ascii="Times New Roman" w:eastAsia="Calibri" w:hAnsi="Times New Roman" w:cs="Times New Roman"/>
          <w:sz w:val="20"/>
        </w:rPr>
        <w:t xml:space="preserve">s disease, history of COVID-19 </w:t>
      </w:r>
      <w:r w:rsidRPr="002D2026">
        <w:rPr>
          <w:rFonts w:ascii="Times New Roman" w:eastAsia="Calibri" w:hAnsi="Times New Roman" w:cs="Times New Roman"/>
          <w:sz w:val="20"/>
        </w:rPr>
        <w:t>or prior COVID-19 vaccination.</w:t>
      </w:r>
    </w:p>
    <w:p w14:paraId="658B07DD" w14:textId="77777777" w:rsidR="00396807" w:rsidRPr="002D2026" w:rsidRDefault="00396807" w:rsidP="002D2026">
      <w:pPr>
        <w:spacing w:after="240"/>
        <w:jc w:val="both"/>
        <w:rPr>
          <w:rFonts w:ascii="Times New Roman" w:eastAsia="Calibri" w:hAnsi="Times New Roman" w:cs="Times New Roman"/>
          <w:sz w:val="20"/>
        </w:rPr>
      </w:pPr>
      <w:r w:rsidRPr="002D2026">
        <w:rPr>
          <w:rFonts w:ascii="Times New Roman" w:eastAsia="Calibri" w:hAnsi="Times New Roman" w:cs="Times New Roman"/>
          <w:b/>
          <w:sz w:val="20"/>
        </w:rPr>
        <w:t xml:space="preserve">Interventions: </w:t>
      </w:r>
      <w:r w:rsidRPr="002D2026">
        <w:rPr>
          <w:rFonts w:ascii="Times New Roman" w:eastAsia="Calibri" w:hAnsi="Times New Roman" w:cs="Times New Roman"/>
          <w:sz w:val="20"/>
        </w:rPr>
        <w:t>All participants received IPV (IPOL, Sanofi Pasteur) by intramuscular injection.</w:t>
      </w:r>
    </w:p>
    <w:p w14:paraId="6594AC89" w14:textId="516A98C4" w:rsidR="00396807" w:rsidRPr="002D2026" w:rsidRDefault="00396807" w:rsidP="002D2026">
      <w:pPr>
        <w:spacing w:after="240"/>
        <w:jc w:val="both"/>
        <w:rPr>
          <w:rFonts w:ascii="Times New Roman" w:eastAsia="Calibri" w:hAnsi="Times New Roman" w:cs="Times New Roman"/>
          <w:sz w:val="20"/>
        </w:rPr>
      </w:pPr>
      <w:r w:rsidRPr="002D2026">
        <w:rPr>
          <w:rFonts w:ascii="Times New Roman" w:eastAsia="Calibri" w:hAnsi="Times New Roman" w:cs="Times New Roman"/>
          <w:b/>
          <w:sz w:val="20"/>
        </w:rPr>
        <w:t xml:space="preserve">Measurements: </w:t>
      </w:r>
      <w:r w:rsidRPr="002D2026">
        <w:rPr>
          <w:rFonts w:ascii="Times New Roman" w:eastAsia="Calibri" w:hAnsi="Times New Roman" w:cs="Times New Roman"/>
          <w:sz w:val="20"/>
        </w:rPr>
        <w:t xml:space="preserve">Blood specimens collected </w:t>
      </w:r>
      <w:r w:rsidR="002803C9" w:rsidRPr="002D2026">
        <w:rPr>
          <w:rFonts w:ascii="Times New Roman" w:eastAsia="Calibri" w:hAnsi="Times New Roman" w:cs="Times New Roman"/>
          <w:sz w:val="20"/>
        </w:rPr>
        <w:t>at baseline</w:t>
      </w:r>
      <w:r w:rsidR="002803C9">
        <w:rPr>
          <w:rFonts w:ascii="Times New Roman" w:eastAsia="Calibri" w:hAnsi="Times New Roman" w:cs="Times New Roman"/>
          <w:sz w:val="20"/>
        </w:rPr>
        <w:t xml:space="preserve"> (pre-inoculation) and 28±</w:t>
      </w:r>
      <w:r w:rsidRPr="002D2026">
        <w:rPr>
          <w:rFonts w:ascii="Times New Roman" w:eastAsia="Calibri" w:hAnsi="Times New Roman" w:cs="Times New Roman"/>
          <w:sz w:val="20"/>
        </w:rPr>
        <w:t xml:space="preserve">3 days post-inoculation were tested for polio antigens using </w:t>
      </w:r>
      <w:r w:rsidR="002803C9" w:rsidRPr="002D2026">
        <w:rPr>
          <w:rFonts w:ascii="Times New Roman" w:eastAsia="Calibri" w:hAnsi="Times New Roman" w:cs="Times New Roman"/>
          <w:sz w:val="20"/>
        </w:rPr>
        <w:t xml:space="preserve">Enzyme-Linked </w:t>
      </w:r>
      <w:proofErr w:type="spellStart"/>
      <w:r w:rsidR="002803C9" w:rsidRPr="002D2026">
        <w:rPr>
          <w:rFonts w:ascii="Times New Roman" w:eastAsia="Calibri" w:hAnsi="Times New Roman" w:cs="Times New Roman"/>
          <w:sz w:val="20"/>
        </w:rPr>
        <w:t>Immunosorbent</w:t>
      </w:r>
      <w:proofErr w:type="spellEnd"/>
      <w:r w:rsidR="002803C9" w:rsidRPr="002D2026">
        <w:rPr>
          <w:rFonts w:ascii="Times New Roman" w:eastAsia="Calibri" w:hAnsi="Times New Roman" w:cs="Times New Roman"/>
          <w:sz w:val="20"/>
        </w:rPr>
        <w:t xml:space="preserve"> Assays </w:t>
      </w:r>
      <w:r w:rsidRPr="002D2026">
        <w:rPr>
          <w:rFonts w:ascii="Times New Roman" w:eastAsia="Calibri" w:hAnsi="Times New Roman" w:cs="Times New Roman"/>
          <w:sz w:val="20"/>
        </w:rPr>
        <w:t>(ELISA). Viral replication via RNA-dependent RNA polymerase (</w:t>
      </w:r>
      <w:proofErr w:type="spellStart"/>
      <w:r w:rsidRPr="002D2026">
        <w:rPr>
          <w:rFonts w:ascii="Times New Roman" w:eastAsia="Calibri" w:hAnsi="Times New Roman" w:cs="Times New Roman"/>
          <w:sz w:val="20"/>
        </w:rPr>
        <w:t>RdRp</w:t>
      </w:r>
      <w:proofErr w:type="spellEnd"/>
      <w:r w:rsidRPr="002D2026">
        <w:rPr>
          <w:rFonts w:ascii="Times New Roman" w:eastAsia="Calibri" w:hAnsi="Times New Roman" w:cs="Times New Roman"/>
          <w:sz w:val="20"/>
        </w:rPr>
        <w:t xml:space="preserve">) enzymatic activity was measured </w:t>
      </w:r>
      <w:r w:rsidR="00BD0D20" w:rsidRPr="002D2026">
        <w:rPr>
          <w:rFonts w:ascii="Times New Roman" w:eastAsia="Calibri" w:hAnsi="Times New Roman" w:cs="Times New Roman"/>
          <w:sz w:val="20"/>
        </w:rPr>
        <w:t>to the</w:t>
      </w:r>
      <w:r w:rsidRPr="002D2026">
        <w:rPr>
          <w:rFonts w:ascii="Times New Roman" w:eastAsia="Calibri" w:hAnsi="Times New Roman" w:cs="Times New Roman"/>
          <w:sz w:val="20"/>
        </w:rPr>
        <w:t xml:space="preserve"> polio-immunized sera. </w:t>
      </w:r>
    </w:p>
    <w:p w14:paraId="0A1D8805" w14:textId="2F95F9FC" w:rsidR="00396807" w:rsidRPr="002D2026" w:rsidRDefault="00396807" w:rsidP="002D2026">
      <w:pPr>
        <w:spacing w:after="240"/>
        <w:jc w:val="both"/>
        <w:rPr>
          <w:rFonts w:ascii="Times New Roman" w:eastAsia="Calibri" w:hAnsi="Times New Roman" w:cs="Times New Roman"/>
          <w:sz w:val="20"/>
        </w:rPr>
      </w:pPr>
      <w:r w:rsidRPr="002D2026">
        <w:rPr>
          <w:rFonts w:ascii="Times New Roman" w:eastAsia="Calibri" w:hAnsi="Times New Roman" w:cs="Times New Roman"/>
          <w:b/>
          <w:sz w:val="20"/>
        </w:rPr>
        <w:t xml:space="preserve">Results: </w:t>
      </w:r>
      <w:r w:rsidRPr="002D2026">
        <w:rPr>
          <w:rFonts w:ascii="Times New Roman" w:eastAsia="Calibri" w:hAnsi="Times New Roman" w:cs="Times New Roman"/>
          <w:sz w:val="20"/>
        </w:rPr>
        <w:t>A total of 298 of the 300 enrolled participants completed both on-site visits. Comparing the baseline (Day 1) and Day 28 measurements, 261 of the 298 paired samples (87.6%) demonstrated a positive increase in antibody ti</w:t>
      </w:r>
      <w:r w:rsidR="002803C9">
        <w:rPr>
          <w:rFonts w:ascii="Times New Roman" w:eastAsia="Calibri" w:hAnsi="Times New Roman" w:cs="Times New Roman"/>
          <w:sz w:val="20"/>
        </w:rPr>
        <w:t>ters, 30 (10.1%) decreased</w:t>
      </w:r>
      <w:r w:rsidRPr="002D2026">
        <w:rPr>
          <w:rFonts w:ascii="Times New Roman" w:eastAsia="Calibri" w:hAnsi="Times New Roman" w:cs="Times New Roman"/>
          <w:sz w:val="20"/>
        </w:rPr>
        <w:t xml:space="preserve"> and 7 (2.3%) had no change. </w:t>
      </w:r>
      <w:r w:rsidR="00DA1F29" w:rsidRPr="002D2026">
        <w:rPr>
          <w:rFonts w:ascii="Times New Roman" w:eastAsia="Calibri" w:hAnsi="Times New Roman" w:cs="Times New Roman"/>
          <w:sz w:val="20"/>
        </w:rPr>
        <w:t>S</w:t>
      </w:r>
      <w:r w:rsidR="00BD0D20" w:rsidRPr="002D2026">
        <w:rPr>
          <w:rFonts w:ascii="Times New Roman" w:eastAsia="Calibri" w:hAnsi="Times New Roman" w:cs="Times New Roman"/>
          <w:sz w:val="20"/>
        </w:rPr>
        <w:t xml:space="preserve">amples </w:t>
      </w:r>
      <w:r w:rsidR="00DA1F29" w:rsidRPr="002D2026">
        <w:rPr>
          <w:rFonts w:ascii="Times New Roman" w:eastAsia="Calibri" w:hAnsi="Times New Roman" w:cs="Times New Roman"/>
          <w:sz w:val="20"/>
        </w:rPr>
        <w:t>that demonstrated no change or a decrease in titers from pre- to post-inoculation had</w:t>
      </w:r>
      <w:r w:rsidR="00BD0D20" w:rsidRPr="002D2026">
        <w:rPr>
          <w:rFonts w:ascii="Times New Roman" w:eastAsia="Calibri" w:hAnsi="Times New Roman" w:cs="Times New Roman"/>
          <w:sz w:val="20"/>
        </w:rPr>
        <w:t xml:space="preserve"> </w:t>
      </w:r>
      <w:r w:rsidR="004C7F8B" w:rsidRPr="002D2026">
        <w:rPr>
          <w:rFonts w:ascii="Times New Roman" w:eastAsia="Calibri" w:hAnsi="Times New Roman" w:cs="Times New Roman"/>
          <w:sz w:val="20"/>
        </w:rPr>
        <w:t>high</w:t>
      </w:r>
      <w:r w:rsidR="00DA1F29" w:rsidRPr="002D2026">
        <w:rPr>
          <w:rFonts w:ascii="Times New Roman" w:eastAsia="Calibri" w:hAnsi="Times New Roman" w:cs="Times New Roman"/>
          <w:sz w:val="20"/>
        </w:rPr>
        <w:t xml:space="preserve"> titer</w:t>
      </w:r>
      <w:r w:rsidR="004C7F8B" w:rsidRPr="002D2026">
        <w:rPr>
          <w:rFonts w:ascii="Times New Roman" w:eastAsia="Calibri" w:hAnsi="Times New Roman" w:cs="Times New Roman"/>
          <w:sz w:val="20"/>
        </w:rPr>
        <w:t xml:space="preserve"> </w:t>
      </w:r>
      <w:r w:rsidR="00DA1F29" w:rsidRPr="002D2026">
        <w:rPr>
          <w:rFonts w:ascii="Times New Roman" w:eastAsia="Calibri" w:hAnsi="Times New Roman" w:cs="Times New Roman"/>
          <w:sz w:val="20"/>
        </w:rPr>
        <w:t xml:space="preserve">levels </w:t>
      </w:r>
      <w:r w:rsidR="004C7F8B" w:rsidRPr="002D2026">
        <w:rPr>
          <w:rFonts w:ascii="Times New Roman" w:eastAsia="Calibri" w:hAnsi="Times New Roman" w:cs="Times New Roman"/>
          <w:sz w:val="20"/>
        </w:rPr>
        <w:t xml:space="preserve">at baseline. </w:t>
      </w:r>
      <w:r w:rsidRPr="002D2026">
        <w:rPr>
          <w:rFonts w:ascii="Times New Roman" w:eastAsia="Calibri" w:hAnsi="Times New Roman" w:cs="Times New Roman"/>
          <w:sz w:val="20"/>
        </w:rPr>
        <w:t xml:space="preserve">Of the </w:t>
      </w:r>
      <w:r w:rsidR="00DA1F29" w:rsidRPr="002D2026">
        <w:rPr>
          <w:rFonts w:ascii="Times New Roman" w:eastAsia="Calibri" w:hAnsi="Times New Roman" w:cs="Times New Roman"/>
          <w:sz w:val="20"/>
        </w:rPr>
        <w:t xml:space="preserve">298 </w:t>
      </w:r>
      <w:r w:rsidRPr="002D2026">
        <w:rPr>
          <w:rFonts w:ascii="Times New Roman" w:eastAsia="Calibri" w:hAnsi="Times New Roman" w:cs="Times New Roman"/>
          <w:sz w:val="20"/>
        </w:rPr>
        <w:t>polio-immune serum samples</w:t>
      </w:r>
      <w:r w:rsidR="00DA1F29" w:rsidRPr="002D2026">
        <w:rPr>
          <w:rFonts w:ascii="Times New Roman" w:eastAsia="Calibri" w:hAnsi="Times New Roman" w:cs="Times New Roman"/>
          <w:sz w:val="20"/>
        </w:rPr>
        <w:t>, 47 were randomly selected</w:t>
      </w:r>
      <w:r w:rsidRPr="002D2026">
        <w:rPr>
          <w:rFonts w:ascii="Times New Roman" w:eastAsia="Calibri" w:hAnsi="Times New Roman" w:cs="Times New Roman"/>
          <w:sz w:val="20"/>
        </w:rPr>
        <w:t xml:space="preserve"> for </w:t>
      </w:r>
      <w:proofErr w:type="spellStart"/>
      <w:r w:rsidRPr="002D2026">
        <w:rPr>
          <w:rFonts w:ascii="Times New Roman" w:eastAsia="Calibri" w:hAnsi="Times New Roman" w:cs="Times New Roman"/>
          <w:sz w:val="20"/>
        </w:rPr>
        <w:t>RdRp</w:t>
      </w:r>
      <w:proofErr w:type="spellEnd"/>
      <w:r w:rsidRPr="002D2026">
        <w:rPr>
          <w:rFonts w:ascii="Times New Roman" w:eastAsia="Calibri" w:hAnsi="Times New Roman" w:cs="Times New Roman"/>
          <w:sz w:val="20"/>
        </w:rPr>
        <w:t xml:space="preserve"> enzymatic activity</w:t>
      </w:r>
      <w:r w:rsidR="00DA1F29" w:rsidRPr="002D2026">
        <w:rPr>
          <w:rFonts w:ascii="Times New Roman" w:eastAsia="Calibri" w:hAnsi="Times New Roman" w:cs="Times New Roman"/>
          <w:sz w:val="20"/>
        </w:rPr>
        <w:t xml:space="preserve"> testing</w:t>
      </w:r>
      <w:r w:rsidRPr="002D2026">
        <w:rPr>
          <w:rFonts w:ascii="Times New Roman" w:eastAsia="Calibri" w:hAnsi="Times New Roman" w:cs="Times New Roman"/>
          <w:sz w:val="20"/>
        </w:rPr>
        <w:t xml:space="preserve">, </w:t>
      </w:r>
      <w:r w:rsidR="00DA1F29" w:rsidRPr="002D2026">
        <w:rPr>
          <w:rFonts w:ascii="Times New Roman" w:eastAsia="Calibri" w:hAnsi="Times New Roman" w:cs="Times New Roman"/>
          <w:sz w:val="20"/>
        </w:rPr>
        <w:t xml:space="preserve">and all samples (100%) </w:t>
      </w:r>
      <w:r w:rsidRPr="002D2026">
        <w:rPr>
          <w:rFonts w:ascii="Times New Roman" w:eastAsia="Calibri" w:hAnsi="Times New Roman" w:cs="Times New Roman"/>
          <w:sz w:val="20"/>
        </w:rPr>
        <w:t xml:space="preserve">demonstrated inhibition of </w:t>
      </w:r>
      <w:proofErr w:type="spellStart"/>
      <w:r w:rsidR="004C7F8B" w:rsidRPr="002D2026">
        <w:rPr>
          <w:rFonts w:ascii="Times New Roman" w:eastAsia="Calibri" w:hAnsi="Times New Roman" w:cs="Times New Roman"/>
          <w:sz w:val="20"/>
        </w:rPr>
        <w:t>RdRp</w:t>
      </w:r>
      <w:proofErr w:type="spellEnd"/>
      <w:r w:rsidR="004C7F8B" w:rsidRPr="002D2026">
        <w:rPr>
          <w:rFonts w:ascii="Times New Roman" w:eastAsia="Calibri" w:hAnsi="Times New Roman" w:cs="Times New Roman"/>
          <w:sz w:val="20"/>
        </w:rPr>
        <w:t xml:space="preserve"> fu</w:t>
      </w:r>
      <w:r w:rsidR="00DA1F29" w:rsidRPr="002D2026">
        <w:rPr>
          <w:rFonts w:ascii="Times New Roman" w:eastAsia="Calibri" w:hAnsi="Times New Roman" w:cs="Times New Roman"/>
          <w:sz w:val="20"/>
        </w:rPr>
        <w:t xml:space="preserve">nction, </w:t>
      </w:r>
      <w:r w:rsidR="00BD0D20" w:rsidRPr="002D2026">
        <w:rPr>
          <w:rFonts w:ascii="Times New Roman" w:eastAsia="Calibri" w:hAnsi="Times New Roman" w:cs="Times New Roman"/>
          <w:sz w:val="20"/>
        </w:rPr>
        <w:t>inhibit</w:t>
      </w:r>
      <w:r w:rsidR="004C7F8B" w:rsidRPr="002D2026">
        <w:rPr>
          <w:rFonts w:ascii="Times New Roman" w:eastAsia="Calibri" w:hAnsi="Times New Roman" w:cs="Times New Roman"/>
          <w:sz w:val="20"/>
        </w:rPr>
        <w:t>ion of</w:t>
      </w:r>
      <w:r w:rsidR="00BD0D20" w:rsidRPr="002D2026">
        <w:rPr>
          <w:rFonts w:ascii="Times New Roman" w:eastAsia="Calibri" w:hAnsi="Times New Roman" w:cs="Times New Roman"/>
          <w:sz w:val="20"/>
        </w:rPr>
        <w:t xml:space="preserve"> SARS-CoV-2-induced </w:t>
      </w:r>
      <w:proofErr w:type="spellStart"/>
      <w:r w:rsidR="00BD0D20" w:rsidRPr="002D2026">
        <w:rPr>
          <w:rFonts w:ascii="Times New Roman" w:eastAsia="Calibri" w:hAnsi="Times New Roman" w:cs="Times New Roman"/>
          <w:sz w:val="20"/>
        </w:rPr>
        <w:t>Cyto</w:t>
      </w:r>
      <w:proofErr w:type="spellEnd"/>
      <w:r w:rsidR="002803C9">
        <w:rPr>
          <w:rFonts w:ascii="Times New Roman" w:eastAsia="Calibri" w:hAnsi="Times New Roman" w:cs="Times New Roman"/>
          <w:sz w:val="20"/>
        </w:rPr>
        <w:t xml:space="preserve"> </w:t>
      </w:r>
      <w:proofErr w:type="spellStart"/>
      <w:r w:rsidR="002803C9" w:rsidRPr="002D2026">
        <w:rPr>
          <w:rFonts w:ascii="Times New Roman" w:eastAsia="Calibri" w:hAnsi="Times New Roman" w:cs="Times New Roman"/>
          <w:sz w:val="20"/>
        </w:rPr>
        <w:t>Pathic</w:t>
      </w:r>
      <w:proofErr w:type="spellEnd"/>
      <w:r w:rsidR="002803C9" w:rsidRPr="002D2026">
        <w:rPr>
          <w:rFonts w:ascii="Times New Roman" w:eastAsia="Calibri" w:hAnsi="Times New Roman" w:cs="Times New Roman"/>
          <w:sz w:val="20"/>
        </w:rPr>
        <w:t xml:space="preserve"> Effects </w:t>
      </w:r>
      <w:r w:rsidR="00DA1F29" w:rsidRPr="002D2026">
        <w:rPr>
          <w:rFonts w:ascii="Times New Roman" w:eastAsia="Calibri" w:hAnsi="Times New Roman" w:cs="Times New Roman"/>
          <w:sz w:val="20"/>
        </w:rPr>
        <w:t xml:space="preserve">(CPE) in Vero cell culture, and a clear demonstration that </w:t>
      </w:r>
      <w:r w:rsidR="00BD0D20" w:rsidRPr="002D2026">
        <w:rPr>
          <w:rFonts w:ascii="Times New Roman" w:eastAsia="Calibri" w:hAnsi="Times New Roman" w:cs="Times New Roman"/>
          <w:sz w:val="20"/>
        </w:rPr>
        <w:t>IPV immunization raises antibodies that recognize the RNA-dependent-RNA-polymerase (</w:t>
      </w:r>
      <w:proofErr w:type="spellStart"/>
      <w:r w:rsidR="00BD0D20" w:rsidRPr="002D2026">
        <w:rPr>
          <w:rFonts w:ascii="Times New Roman" w:eastAsia="Calibri" w:hAnsi="Times New Roman" w:cs="Times New Roman"/>
          <w:sz w:val="20"/>
        </w:rPr>
        <w:t>RdRp</w:t>
      </w:r>
      <w:proofErr w:type="spellEnd"/>
      <w:r w:rsidR="00BD0D20" w:rsidRPr="002D2026">
        <w:rPr>
          <w:rFonts w:ascii="Times New Roman" w:eastAsia="Calibri" w:hAnsi="Times New Roman" w:cs="Times New Roman"/>
          <w:sz w:val="20"/>
        </w:rPr>
        <w:t xml:space="preserve">) proteins of both poliovirus and SARS-CoV-2. Additionally, </w:t>
      </w:r>
      <w:r w:rsidR="00DA1F29" w:rsidRPr="002D2026">
        <w:rPr>
          <w:rFonts w:ascii="Times New Roman" w:eastAsia="Calibri" w:hAnsi="Times New Roman" w:cs="Times New Roman"/>
          <w:sz w:val="20"/>
        </w:rPr>
        <w:t xml:space="preserve">our retrospective study demonstrated </w:t>
      </w:r>
      <w:r w:rsidR="00BD0D20" w:rsidRPr="002D2026">
        <w:rPr>
          <w:rFonts w:ascii="Times New Roman" w:eastAsia="Calibri" w:hAnsi="Times New Roman" w:cs="Times New Roman"/>
          <w:sz w:val="20"/>
        </w:rPr>
        <w:t xml:space="preserve">adults re-immunized with IPV exhibited similar antibody responses to both poliovirus and SARS-CoV-2 </w:t>
      </w:r>
      <w:proofErr w:type="spellStart"/>
      <w:r w:rsidR="00BD0D20" w:rsidRPr="002D2026">
        <w:rPr>
          <w:rFonts w:ascii="Times New Roman" w:eastAsia="Calibri" w:hAnsi="Times New Roman" w:cs="Times New Roman"/>
          <w:sz w:val="20"/>
        </w:rPr>
        <w:t>RdRp</w:t>
      </w:r>
      <w:proofErr w:type="spellEnd"/>
      <w:r w:rsidR="00BD0D20" w:rsidRPr="002D2026">
        <w:rPr>
          <w:rFonts w:ascii="Times New Roman" w:eastAsia="Calibri" w:hAnsi="Times New Roman" w:cs="Times New Roman"/>
          <w:sz w:val="20"/>
        </w:rPr>
        <w:t xml:space="preserve">, compared to children who received IPV as part of their childhood vaccinations. Across all ages, poliovirus vaccination produces antibodies that inhibit </w:t>
      </w:r>
      <w:proofErr w:type="spellStart"/>
      <w:r w:rsidR="00BD0D20" w:rsidRPr="002D2026">
        <w:rPr>
          <w:rFonts w:ascii="Times New Roman" w:eastAsia="Calibri" w:hAnsi="Times New Roman" w:cs="Times New Roman"/>
          <w:sz w:val="20"/>
        </w:rPr>
        <w:t>RdRp</w:t>
      </w:r>
      <w:proofErr w:type="spellEnd"/>
      <w:r w:rsidR="00BD0D20" w:rsidRPr="002D2026">
        <w:rPr>
          <w:rFonts w:ascii="Times New Roman" w:eastAsia="Calibri" w:hAnsi="Times New Roman" w:cs="Times New Roman"/>
          <w:sz w:val="20"/>
        </w:rPr>
        <w:t xml:space="preserve"> function, thereby preventing viral replication that may cause disease progression in infected individuals</w:t>
      </w:r>
      <w:r w:rsidR="00DA1F29" w:rsidRPr="002D2026">
        <w:rPr>
          <w:rFonts w:ascii="Times New Roman" w:eastAsia="Calibri" w:hAnsi="Times New Roman" w:cs="Times New Roman"/>
          <w:sz w:val="20"/>
        </w:rPr>
        <w:t>.</w:t>
      </w:r>
      <w:r w:rsidR="00BD0D20" w:rsidRPr="002D2026">
        <w:rPr>
          <w:rFonts w:ascii="Times New Roman" w:eastAsia="Calibri" w:hAnsi="Times New Roman" w:cs="Times New Roman"/>
          <w:sz w:val="20"/>
        </w:rPr>
        <w:t xml:space="preserve"> </w:t>
      </w:r>
      <w:r w:rsidR="00DA1F29" w:rsidRPr="002D2026">
        <w:rPr>
          <w:rFonts w:ascii="Times New Roman" w:eastAsia="Calibri" w:hAnsi="Times New Roman" w:cs="Times New Roman"/>
          <w:sz w:val="20"/>
        </w:rPr>
        <w:t>The study results provide</w:t>
      </w:r>
      <w:r w:rsidR="00BD0D20" w:rsidRPr="002D2026">
        <w:rPr>
          <w:rFonts w:ascii="Times New Roman" w:eastAsia="Calibri" w:hAnsi="Times New Roman" w:cs="Times New Roman"/>
          <w:sz w:val="20"/>
        </w:rPr>
        <w:t xml:space="preserve"> robust data that poliovirus vaccines can generate strong adaptive immune responses against SARS-CoV-2, providing protection from infection. Serologically, we found poliovirus vaccination significantly increases antibody titers (p&lt;0.0001). </w:t>
      </w:r>
      <w:r w:rsidR="004C7F8B" w:rsidRPr="002D2026">
        <w:rPr>
          <w:rFonts w:ascii="Times New Roman" w:eastAsia="Calibri" w:hAnsi="Times New Roman" w:cs="Times New Roman"/>
          <w:sz w:val="20"/>
        </w:rPr>
        <w:t>Clinically</w:t>
      </w:r>
      <w:r w:rsidR="00BD0D20" w:rsidRPr="002D2026">
        <w:rPr>
          <w:rFonts w:ascii="Times New Roman" w:eastAsia="Calibri" w:hAnsi="Times New Roman" w:cs="Times New Roman"/>
          <w:sz w:val="20"/>
        </w:rPr>
        <w:t>, only 1.67% of the studied population reported testing positive for COVID-19, which can be compared to the local infection rate among the general population</w:t>
      </w:r>
      <w:r w:rsidR="00AB5B91" w:rsidRPr="002D2026">
        <w:rPr>
          <w:rFonts w:ascii="Times New Roman" w:eastAsia="Calibri" w:hAnsi="Times New Roman" w:cs="Times New Roman"/>
          <w:sz w:val="20"/>
        </w:rPr>
        <w:t xml:space="preserve"> at that time</w:t>
      </w:r>
      <w:r w:rsidR="00BD0D20" w:rsidRPr="002D2026">
        <w:rPr>
          <w:rFonts w:ascii="Times New Roman" w:eastAsia="Calibri" w:hAnsi="Times New Roman" w:cs="Times New Roman"/>
          <w:sz w:val="20"/>
        </w:rPr>
        <w:t>, 8.83% (p</w:t>
      </w:r>
      <w:r w:rsidR="002803C9">
        <w:rPr>
          <w:rFonts w:ascii="Times New Roman" w:eastAsia="Calibri" w:hAnsi="Times New Roman" w:cs="Times New Roman"/>
          <w:sz w:val="20"/>
        </w:rPr>
        <w:t>&lt;0.0001, z=4.677 [95% CI (0.54,</w:t>
      </w:r>
      <w:r w:rsidR="00BD0D20" w:rsidRPr="002D2026">
        <w:rPr>
          <w:rFonts w:ascii="Times New Roman" w:eastAsia="Calibri" w:hAnsi="Times New Roman" w:cs="Times New Roman"/>
          <w:sz w:val="20"/>
        </w:rPr>
        <w:t>3.85)]). Those who did test positive for COVID-19 only experienced mild symptoms for 1-3 days, if at all. Moreover, no one in the clinical trial was hospitalized (0%) or died (0%) due to COVID-19, which may be compared to the rates in the local population, with 5.5% of the general public being hospitalized and 1.3% dying f</w:t>
      </w:r>
      <w:r w:rsidR="002803C9">
        <w:rPr>
          <w:rFonts w:ascii="Times New Roman" w:eastAsia="Calibri" w:hAnsi="Times New Roman" w:cs="Times New Roman"/>
          <w:sz w:val="20"/>
        </w:rPr>
        <w:t xml:space="preserve">rom COVID-19 (p&lt;0.0001, z=6.21; </w:t>
      </w:r>
      <w:r w:rsidR="00BD0D20" w:rsidRPr="002D2026">
        <w:rPr>
          <w:rFonts w:ascii="Times New Roman" w:eastAsia="Calibri" w:hAnsi="Times New Roman" w:cs="Times New Roman"/>
          <w:sz w:val="20"/>
        </w:rPr>
        <w:t>p&lt;0.01, z=2.73, respectively).</w:t>
      </w:r>
    </w:p>
    <w:p w14:paraId="29F7DFA4" w14:textId="6F97D8E8" w:rsidR="00396807" w:rsidRPr="002D2026" w:rsidRDefault="00396807" w:rsidP="002D2026">
      <w:pPr>
        <w:spacing w:after="240"/>
        <w:jc w:val="both"/>
        <w:rPr>
          <w:rFonts w:ascii="Times New Roman" w:eastAsia="Calibri" w:hAnsi="Times New Roman" w:cs="Times New Roman"/>
          <w:sz w:val="20"/>
        </w:rPr>
      </w:pPr>
      <w:r w:rsidRPr="002D2026">
        <w:rPr>
          <w:rFonts w:ascii="Times New Roman" w:eastAsia="Calibri" w:hAnsi="Times New Roman" w:cs="Times New Roman"/>
          <w:b/>
          <w:sz w:val="20"/>
        </w:rPr>
        <w:t xml:space="preserve">Limitations: </w:t>
      </w:r>
      <w:r w:rsidRPr="002D2026">
        <w:rPr>
          <w:rFonts w:ascii="Times New Roman" w:eastAsia="Calibri" w:hAnsi="Times New Roman" w:cs="Times New Roman"/>
          <w:sz w:val="20"/>
        </w:rPr>
        <w:t xml:space="preserve">Participants were not routinely tested for COVID-19, though known exposures were </w:t>
      </w:r>
      <w:r w:rsidR="007309E4" w:rsidRPr="002D2026">
        <w:rPr>
          <w:rFonts w:ascii="Times New Roman" w:eastAsia="Calibri" w:hAnsi="Times New Roman" w:cs="Times New Roman"/>
          <w:sz w:val="20"/>
        </w:rPr>
        <w:t>reported,</w:t>
      </w:r>
      <w:r w:rsidRPr="002D2026">
        <w:rPr>
          <w:rFonts w:ascii="Times New Roman" w:eastAsia="Calibri" w:hAnsi="Times New Roman" w:cs="Times New Roman"/>
          <w:sz w:val="20"/>
        </w:rPr>
        <w:t xml:space="preserve"> and COVID-19 PCR results were documented.</w:t>
      </w:r>
    </w:p>
    <w:p w14:paraId="563F176B" w14:textId="77777777" w:rsidR="00396807" w:rsidRPr="002D2026" w:rsidRDefault="00396807" w:rsidP="002D2026">
      <w:pPr>
        <w:spacing w:after="100" w:afterAutospacing="1"/>
        <w:jc w:val="both"/>
        <w:rPr>
          <w:rFonts w:ascii="Times New Roman" w:eastAsia="Calibri" w:hAnsi="Times New Roman" w:cs="Times New Roman"/>
          <w:sz w:val="20"/>
        </w:rPr>
      </w:pPr>
      <w:r w:rsidRPr="002D2026">
        <w:rPr>
          <w:rFonts w:ascii="Times New Roman" w:eastAsia="Calibri" w:hAnsi="Times New Roman" w:cs="Times New Roman"/>
          <w:b/>
          <w:sz w:val="20"/>
        </w:rPr>
        <w:lastRenderedPageBreak/>
        <w:t xml:space="preserve">Conclusion: </w:t>
      </w:r>
      <w:r w:rsidRPr="002D2026">
        <w:rPr>
          <w:rFonts w:ascii="Times New Roman" w:eastAsia="Calibri" w:hAnsi="Times New Roman" w:cs="Times New Roman"/>
          <w:sz w:val="20"/>
        </w:rPr>
        <w:t xml:space="preserve">A single dose of IPV induces a significant increase in antibody titers, which can cross-react with SARS-CoV-2. This prospective clinical trial confirms findings from retrospective studies that polio-immune sera demonstrate inhibition of viral replication and IPV can affect SARS-CoV-2 </w:t>
      </w:r>
      <w:proofErr w:type="spellStart"/>
      <w:r w:rsidRPr="002D2026">
        <w:rPr>
          <w:rFonts w:ascii="Times New Roman" w:eastAsia="Calibri" w:hAnsi="Times New Roman" w:cs="Times New Roman"/>
          <w:sz w:val="20"/>
        </w:rPr>
        <w:t>RdRp</w:t>
      </w:r>
      <w:proofErr w:type="spellEnd"/>
      <w:r w:rsidRPr="002D2026">
        <w:rPr>
          <w:rFonts w:ascii="Times New Roman" w:eastAsia="Calibri" w:hAnsi="Times New Roman" w:cs="Times New Roman"/>
          <w:sz w:val="20"/>
        </w:rPr>
        <w:t xml:space="preserve"> reactivity. </w:t>
      </w:r>
    </w:p>
    <w:p w14:paraId="18C86976" w14:textId="3BC5532A" w:rsidR="00AF69EA" w:rsidRPr="00D1321C" w:rsidRDefault="00AF69EA" w:rsidP="002D2026">
      <w:pPr>
        <w:spacing w:before="240" w:after="120"/>
        <w:rPr>
          <w:rFonts w:ascii="Times New Roman" w:eastAsia="Calibri" w:hAnsi="Times New Roman" w:cs="Times New Roman"/>
          <w:b/>
        </w:rPr>
      </w:pPr>
      <w:r w:rsidRPr="00D1321C">
        <w:rPr>
          <w:rFonts w:ascii="Times New Roman" w:eastAsia="Calibri" w:hAnsi="Times New Roman" w:cs="Times New Roman"/>
          <w:b/>
        </w:rPr>
        <w:t>Biography</w:t>
      </w:r>
    </w:p>
    <w:p w14:paraId="1ABCC275" w14:textId="1C474AEB" w:rsidR="00D1321C" w:rsidRPr="002D2026" w:rsidRDefault="00D1321C" w:rsidP="00D1321C">
      <w:pPr>
        <w:widowControl w:val="0"/>
        <w:spacing w:after="120" w:line="276" w:lineRule="auto"/>
        <w:jc w:val="both"/>
        <w:rPr>
          <w:rFonts w:ascii="Times New Roman" w:eastAsia="SimSun" w:hAnsi="Times New Roman" w:cs="Times New Roman"/>
          <w:spacing w:val="1"/>
          <w:sz w:val="20"/>
        </w:rPr>
      </w:pPr>
      <w:r w:rsidRPr="002D2026">
        <w:rPr>
          <w:rFonts w:ascii="Times New Roman" w:eastAsia="SimSun" w:hAnsi="Times New Roman" w:cs="Times New Roman"/>
          <w:spacing w:val="1"/>
          <w:sz w:val="20"/>
        </w:rPr>
        <w:t>Over 40 years experiences in public health and infection disease epidemic control. Lead a team (EMO Biology Inc.) of scientists conducted the COVID-19 related studies including immunology, virology, epidemiology, serological and clinical providing understanding of root cause of global pandemic and control methods since 2020 up to now. Prior to 1991, Former officer of national immunization program of China, WHO’s Fellow, CDC infectious diseases control specialists and epi</w:t>
      </w:r>
      <w:r w:rsidR="002803C9">
        <w:rPr>
          <w:rFonts w:ascii="Times New Roman" w:eastAsia="SimSun" w:hAnsi="Times New Roman" w:cs="Times New Roman"/>
          <w:spacing w:val="1"/>
          <w:sz w:val="20"/>
        </w:rPr>
        <w:t xml:space="preserve">demiologist. Multiple National </w:t>
      </w:r>
      <w:proofErr w:type="spellStart"/>
      <w:r w:rsidRPr="002D2026">
        <w:rPr>
          <w:rFonts w:ascii="Times New Roman" w:eastAsia="SimSun" w:hAnsi="Times New Roman" w:cs="Times New Roman"/>
          <w:spacing w:val="1"/>
          <w:sz w:val="20"/>
        </w:rPr>
        <w:t>Academical</w:t>
      </w:r>
      <w:proofErr w:type="spellEnd"/>
      <w:r w:rsidRPr="002D2026">
        <w:rPr>
          <w:rFonts w:ascii="Times New Roman" w:eastAsia="SimSun" w:hAnsi="Times New Roman" w:cs="Times New Roman"/>
          <w:spacing w:val="1"/>
          <w:sz w:val="20"/>
        </w:rPr>
        <w:t xml:space="preserve"> rewards from the contribution to the clinical and epidemiological study lead to the research of typhoid infectious and discovered the new wildlife carrier of such disease-causing specific population infectious in a local outbreak and disease put off in 1985. Lead national EPI program with setting up computerized disease reporting system for children’s infectious diseases control through immunization (1989). Lead the clinical </w:t>
      </w:r>
      <w:proofErr w:type="gramStart"/>
      <w:r w:rsidRPr="002D2026">
        <w:rPr>
          <w:rFonts w:ascii="Times New Roman" w:eastAsia="SimSun" w:hAnsi="Times New Roman" w:cs="Times New Roman"/>
          <w:spacing w:val="1"/>
          <w:sz w:val="20"/>
        </w:rPr>
        <w:t>serological,</w:t>
      </w:r>
      <w:proofErr w:type="gramEnd"/>
      <w:r w:rsidRPr="002D2026">
        <w:rPr>
          <w:rFonts w:ascii="Times New Roman" w:eastAsia="SimSun" w:hAnsi="Times New Roman" w:cs="Times New Roman"/>
          <w:spacing w:val="1"/>
          <w:sz w:val="20"/>
        </w:rPr>
        <w:t xml:space="preserve"> and epidemiological studies resulted in national policy adaptation for senior booster immunization of tetanus in 1996 USA. </w:t>
      </w:r>
    </w:p>
    <w:p w14:paraId="3EECBA88" w14:textId="77777777" w:rsidR="00D1321C" w:rsidRPr="00D1321C" w:rsidRDefault="00D1321C" w:rsidP="00396807">
      <w:pPr>
        <w:jc w:val="both"/>
        <w:rPr>
          <w:rFonts w:ascii="Times New Roman" w:eastAsia="Calibri" w:hAnsi="Times New Roman" w:cs="Times New Roman"/>
        </w:rPr>
      </w:pPr>
      <w:bookmarkStart w:id="0" w:name="_GoBack"/>
      <w:bookmarkEnd w:id="0"/>
    </w:p>
    <w:p w14:paraId="5B82961A" w14:textId="77777777" w:rsidR="00AF69EA" w:rsidRPr="00D1321C" w:rsidRDefault="00AF69EA" w:rsidP="00396807">
      <w:pPr>
        <w:jc w:val="both"/>
        <w:rPr>
          <w:rFonts w:ascii="Times New Roman" w:eastAsia="Calibri" w:hAnsi="Times New Roman" w:cs="Times New Roman"/>
        </w:rPr>
      </w:pPr>
    </w:p>
    <w:p w14:paraId="076613C5" w14:textId="72112C2E" w:rsidR="001A23F6" w:rsidRPr="00D1321C" w:rsidRDefault="001A23F6" w:rsidP="00396807">
      <w:pPr>
        <w:jc w:val="both"/>
        <w:rPr>
          <w:rFonts w:ascii="Times New Roman" w:eastAsia="Calibri" w:hAnsi="Times New Roman" w:cs="Times New Roman"/>
        </w:rPr>
      </w:pPr>
    </w:p>
    <w:sectPr w:rsidR="001A23F6" w:rsidRPr="00D1321C" w:rsidSect="00DC70A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3A3700" w14:textId="77777777" w:rsidR="00CE1E52" w:rsidRDefault="00CE1E52" w:rsidP="002D2026">
      <w:r>
        <w:separator/>
      </w:r>
    </w:p>
  </w:endnote>
  <w:endnote w:type="continuationSeparator" w:id="0">
    <w:p w14:paraId="212F61E2" w14:textId="77777777" w:rsidR="00CE1E52" w:rsidRDefault="00CE1E52" w:rsidP="002D2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8F2D07" w14:textId="77777777" w:rsidR="00CE1E52" w:rsidRDefault="00CE1E52" w:rsidP="002D2026">
      <w:r>
        <w:separator/>
      </w:r>
    </w:p>
  </w:footnote>
  <w:footnote w:type="continuationSeparator" w:id="0">
    <w:p w14:paraId="17A170BF" w14:textId="77777777" w:rsidR="00CE1E52" w:rsidRDefault="00CE1E52" w:rsidP="002D20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gutterAtTop/>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807"/>
    <w:rsid w:val="00050459"/>
    <w:rsid w:val="001A23F6"/>
    <w:rsid w:val="002803C9"/>
    <w:rsid w:val="002D2026"/>
    <w:rsid w:val="0033542F"/>
    <w:rsid w:val="00396807"/>
    <w:rsid w:val="004C7F8B"/>
    <w:rsid w:val="005042A2"/>
    <w:rsid w:val="00690AAE"/>
    <w:rsid w:val="007309E4"/>
    <w:rsid w:val="00953063"/>
    <w:rsid w:val="00AB5B91"/>
    <w:rsid w:val="00AF69EA"/>
    <w:rsid w:val="00BD0D20"/>
    <w:rsid w:val="00CE1E52"/>
    <w:rsid w:val="00D1321C"/>
    <w:rsid w:val="00DA1F29"/>
    <w:rsid w:val="00DC7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FA58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96807"/>
    <w:rPr>
      <w:rFonts w:ascii="Arial" w:eastAsia="Arial" w:hAnsi="Arial" w:cs="Arial"/>
      <w:lang w:val="en"/>
    </w:rPr>
  </w:style>
  <w:style w:type="character" w:customStyle="1" w:styleId="CommentTextChar">
    <w:name w:val="Comment Text Char"/>
    <w:basedOn w:val="DefaultParagraphFont"/>
    <w:link w:val="CommentText"/>
    <w:uiPriority w:val="99"/>
    <w:semiHidden/>
    <w:rsid w:val="00396807"/>
    <w:rPr>
      <w:rFonts w:ascii="Arial" w:eastAsia="Arial" w:hAnsi="Arial" w:cs="Arial"/>
      <w:lang w:val="en"/>
    </w:rPr>
  </w:style>
  <w:style w:type="character" w:styleId="CommentReference">
    <w:name w:val="annotation reference"/>
    <w:basedOn w:val="DefaultParagraphFont"/>
    <w:uiPriority w:val="99"/>
    <w:semiHidden/>
    <w:unhideWhenUsed/>
    <w:rsid w:val="00396807"/>
    <w:rPr>
      <w:sz w:val="18"/>
      <w:szCs w:val="18"/>
    </w:rPr>
  </w:style>
  <w:style w:type="paragraph" w:styleId="BalloonText">
    <w:name w:val="Balloon Text"/>
    <w:basedOn w:val="Normal"/>
    <w:link w:val="BalloonTextChar"/>
    <w:uiPriority w:val="99"/>
    <w:semiHidden/>
    <w:unhideWhenUsed/>
    <w:rsid w:val="0039680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6807"/>
    <w:rPr>
      <w:rFonts w:ascii="Times New Roman" w:hAnsi="Times New Roman" w:cs="Times New Roman"/>
      <w:sz w:val="18"/>
      <w:szCs w:val="18"/>
    </w:rPr>
  </w:style>
  <w:style w:type="paragraph" w:styleId="Header">
    <w:name w:val="header"/>
    <w:basedOn w:val="Normal"/>
    <w:link w:val="HeaderChar"/>
    <w:uiPriority w:val="99"/>
    <w:unhideWhenUsed/>
    <w:rsid w:val="002D2026"/>
    <w:pPr>
      <w:tabs>
        <w:tab w:val="center" w:pos="4680"/>
        <w:tab w:val="right" w:pos="9360"/>
      </w:tabs>
    </w:pPr>
  </w:style>
  <w:style w:type="character" w:customStyle="1" w:styleId="HeaderChar">
    <w:name w:val="Header Char"/>
    <w:basedOn w:val="DefaultParagraphFont"/>
    <w:link w:val="Header"/>
    <w:uiPriority w:val="99"/>
    <w:rsid w:val="002D2026"/>
  </w:style>
  <w:style w:type="paragraph" w:styleId="Footer">
    <w:name w:val="footer"/>
    <w:basedOn w:val="Normal"/>
    <w:link w:val="FooterChar"/>
    <w:uiPriority w:val="99"/>
    <w:unhideWhenUsed/>
    <w:rsid w:val="002D2026"/>
    <w:pPr>
      <w:tabs>
        <w:tab w:val="center" w:pos="4680"/>
        <w:tab w:val="right" w:pos="9360"/>
      </w:tabs>
    </w:pPr>
  </w:style>
  <w:style w:type="character" w:customStyle="1" w:styleId="FooterChar">
    <w:name w:val="Footer Char"/>
    <w:basedOn w:val="DefaultParagraphFont"/>
    <w:link w:val="Footer"/>
    <w:uiPriority w:val="99"/>
    <w:rsid w:val="002D20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396807"/>
    <w:rPr>
      <w:rFonts w:ascii="Arial" w:eastAsia="Arial" w:hAnsi="Arial" w:cs="Arial"/>
      <w:lang w:val="en"/>
    </w:rPr>
  </w:style>
  <w:style w:type="character" w:customStyle="1" w:styleId="CommentTextChar">
    <w:name w:val="Comment Text Char"/>
    <w:basedOn w:val="DefaultParagraphFont"/>
    <w:link w:val="CommentText"/>
    <w:uiPriority w:val="99"/>
    <w:semiHidden/>
    <w:rsid w:val="00396807"/>
    <w:rPr>
      <w:rFonts w:ascii="Arial" w:eastAsia="Arial" w:hAnsi="Arial" w:cs="Arial"/>
      <w:lang w:val="en"/>
    </w:rPr>
  </w:style>
  <w:style w:type="character" w:styleId="CommentReference">
    <w:name w:val="annotation reference"/>
    <w:basedOn w:val="DefaultParagraphFont"/>
    <w:uiPriority w:val="99"/>
    <w:semiHidden/>
    <w:unhideWhenUsed/>
    <w:rsid w:val="00396807"/>
    <w:rPr>
      <w:sz w:val="18"/>
      <w:szCs w:val="18"/>
    </w:rPr>
  </w:style>
  <w:style w:type="paragraph" w:styleId="BalloonText">
    <w:name w:val="Balloon Text"/>
    <w:basedOn w:val="Normal"/>
    <w:link w:val="BalloonTextChar"/>
    <w:uiPriority w:val="99"/>
    <w:semiHidden/>
    <w:unhideWhenUsed/>
    <w:rsid w:val="0039680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96807"/>
    <w:rPr>
      <w:rFonts w:ascii="Times New Roman" w:hAnsi="Times New Roman" w:cs="Times New Roman"/>
      <w:sz w:val="18"/>
      <w:szCs w:val="18"/>
    </w:rPr>
  </w:style>
  <w:style w:type="paragraph" w:styleId="Header">
    <w:name w:val="header"/>
    <w:basedOn w:val="Normal"/>
    <w:link w:val="HeaderChar"/>
    <w:uiPriority w:val="99"/>
    <w:unhideWhenUsed/>
    <w:rsid w:val="002D2026"/>
    <w:pPr>
      <w:tabs>
        <w:tab w:val="center" w:pos="4680"/>
        <w:tab w:val="right" w:pos="9360"/>
      </w:tabs>
    </w:pPr>
  </w:style>
  <w:style w:type="character" w:customStyle="1" w:styleId="HeaderChar">
    <w:name w:val="Header Char"/>
    <w:basedOn w:val="DefaultParagraphFont"/>
    <w:link w:val="Header"/>
    <w:uiPriority w:val="99"/>
    <w:rsid w:val="002D2026"/>
  </w:style>
  <w:style w:type="paragraph" w:styleId="Footer">
    <w:name w:val="footer"/>
    <w:basedOn w:val="Normal"/>
    <w:link w:val="FooterChar"/>
    <w:uiPriority w:val="99"/>
    <w:unhideWhenUsed/>
    <w:rsid w:val="002D2026"/>
    <w:pPr>
      <w:tabs>
        <w:tab w:val="center" w:pos="4680"/>
        <w:tab w:val="right" w:pos="9360"/>
      </w:tabs>
    </w:pPr>
  </w:style>
  <w:style w:type="character" w:customStyle="1" w:styleId="FooterChar">
    <w:name w:val="Footer Char"/>
    <w:basedOn w:val="DefaultParagraphFont"/>
    <w:link w:val="Footer"/>
    <w:uiPriority w:val="99"/>
    <w:rsid w:val="002D20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Comunale</dc:creator>
  <cp:keywords/>
  <dc:description/>
  <cp:lastModifiedBy>Swetha Sandala</cp:lastModifiedBy>
  <cp:revision>5</cp:revision>
  <dcterms:created xsi:type="dcterms:W3CDTF">2022-05-02T23:00:00Z</dcterms:created>
  <dcterms:modified xsi:type="dcterms:W3CDTF">2022-05-25T12:45:00Z</dcterms:modified>
</cp:coreProperties>
</file>