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617A" w:rsidP="00E937A7">
      <w:pPr>
        <w:spacing w:after="160"/>
        <w:rPr>
          <w:rFonts w:ascii="Times New Roman" w:hAnsi="Times New Roman" w:cs="Times New Roman"/>
          <w:b/>
          <w:sz w:val="32"/>
        </w:rPr>
      </w:pPr>
      <w:proofErr w:type="spellStart"/>
      <w:r w:rsidRPr="00A1617A">
        <w:rPr>
          <w:rFonts w:ascii="Times New Roman" w:hAnsi="Times New Roman" w:cs="Times New Roman"/>
          <w:b/>
          <w:sz w:val="32"/>
        </w:rPr>
        <w:t>Homotypic</w:t>
      </w:r>
      <w:proofErr w:type="spellEnd"/>
      <w:r w:rsidRPr="00A1617A">
        <w:rPr>
          <w:rFonts w:ascii="Times New Roman" w:hAnsi="Times New Roman" w:cs="Times New Roman"/>
          <w:b/>
          <w:sz w:val="32"/>
        </w:rPr>
        <w:t xml:space="preserve"> comorbidity of anxiety disorders among children and adolescents</w:t>
      </w:r>
    </w:p>
    <w:p w:rsidR="00A1617A" w:rsidRDefault="00A1617A" w:rsidP="00E937A7">
      <w:pPr>
        <w:spacing w:after="160"/>
        <w:rPr>
          <w:rFonts w:ascii="Times New Roman" w:hAnsi="Times New Roman" w:cs="Times New Roman"/>
          <w:sz w:val="24"/>
        </w:rPr>
      </w:pPr>
      <w:r w:rsidRPr="00A1617A">
        <w:rPr>
          <w:rFonts w:ascii="Times New Roman" w:hAnsi="Times New Roman" w:cs="Times New Roman"/>
          <w:sz w:val="24"/>
        </w:rPr>
        <w:t xml:space="preserve">Josephine </w:t>
      </w:r>
      <w:proofErr w:type="spellStart"/>
      <w:r w:rsidRPr="00A1617A">
        <w:rPr>
          <w:rFonts w:ascii="Times New Roman" w:hAnsi="Times New Roman" w:cs="Times New Roman"/>
          <w:sz w:val="24"/>
        </w:rPr>
        <w:t>Muchiri</w:t>
      </w:r>
      <w:proofErr w:type="spellEnd"/>
    </w:p>
    <w:p w:rsidR="00A1617A" w:rsidRPr="00A1617A" w:rsidRDefault="00A1617A" w:rsidP="00E937A7">
      <w:pPr>
        <w:spacing w:after="160"/>
        <w:rPr>
          <w:rFonts w:ascii="Times New Roman" w:hAnsi="Times New Roman" w:cs="Times New Roman"/>
        </w:rPr>
      </w:pPr>
      <w:r w:rsidRPr="00A1617A">
        <w:rPr>
          <w:rFonts w:ascii="Times New Roman" w:hAnsi="Times New Roman" w:cs="Times New Roman"/>
        </w:rPr>
        <w:t>International Leadership University, Kenya</w:t>
      </w:r>
    </w:p>
    <w:p w:rsidR="00A1617A" w:rsidRPr="00A1617A" w:rsidRDefault="00A1617A" w:rsidP="00E937A7">
      <w:pPr>
        <w:spacing w:after="160"/>
        <w:jc w:val="center"/>
        <w:rPr>
          <w:rFonts w:ascii="Times New Roman" w:hAnsi="Times New Roman" w:cs="Times New Roman"/>
          <w:b/>
          <w:sz w:val="24"/>
        </w:rPr>
      </w:pPr>
      <w:r w:rsidRPr="00A1617A">
        <w:rPr>
          <w:rFonts w:ascii="Times New Roman" w:hAnsi="Times New Roman" w:cs="Times New Roman"/>
          <w:b/>
          <w:sz w:val="24"/>
        </w:rPr>
        <w:t>Abstract</w:t>
      </w:r>
    </w:p>
    <w:p w:rsidR="00A1617A" w:rsidRPr="00A1617A" w:rsidRDefault="00A1617A" w:rsidP="00E937A7">
      <w:pPr>
        <w:spacing w:after="160"/>
        <w:jc w:val="both"/>
        <w:rPr>
          <w:rFonts w:ascii="Times New Roman" w:hAnsi="Times New Roman" w:cs="Times New Roman"/>
          <w:sz w:val="20"/>
        </w:rPr>
      </w:pPr>
      <w:r w:rsidRPr="00A1617A">
        <w:rPr>
          <w:rFonts w:ascii="Times New Roman" w:hAnsi="Times New Roman" w:cs="Times New Roman"/>
          <w:sz w:val="20"/>
        </w:rPr>
        <w:t xml:space="preserve">Anxiety is the ninth leading cause for mental illness and disability for adolescents aged 15-19 years and sixth for those aged 10-14 years (World Health </w:t>
      </w:r>
      <w:r w:rsidR="00E937A7" w:rsidRPr="00A1617A">
        <w:rPr>
          <w:rFonts w:ascii="Times New Roman" w:hAnsi="Times New Roman" w:cs="Times New Roman"/>
          <w:sz w:val="20"/>
        </w:rPr>
        <w:t xml:space="preserve">Organization </w:t>
      </w:r>
      <w:r w:rsidRPr="00A1617A">
        <w:rPr>
          <w:rFonts w:ascii="Times New Roman" w:hAnsi="Times New Roman" w:cs="Times New Roman"/>
          <w:sz w:val="20"/>
        </w:rPr>
        <w:t>[WHO], 2020). Anxiety disorders are highly comorbid with a chronic waxing-waning course across the lifespan, which affects children negatively. Identifying the specific comorbidities is crucial to informing treatment programs.</w:t>
      </w:r>
    </w:p>
    <w:p w:rsidR="00A1617A" w:rsidRPr="00A1617A" w:rsidRDefault="00A1617A" w:rsidP="00E937A7">
      <w:pPr>
        <w:spacing w:after="160"/>
        <w:jc w:val="both"/>
        <w:rPr>
          <w:rFonts w:ascii="Times New Roman" w:hAnsi="Times New Roman" w:cs="Times New Roman"/>
          <w:sz w:val="20"/>
        </w:rPr>
      </w:pPr>
      <w:r w:rsidRPr="00A1617A">
        <w:rPr>
          <w:rFonts w:ascii="Times New Roman" w:hAnsi="Times New Roman" w:cs="Times New Roman"/>
          <w:sz w:val="20"/>
        </w:rPr>
        <w:t>The purpose of this study was to investigate the prevalence and comorbidities of anxiety disorders among youth aged 8-16 years from low social economic backgrounds in Kenya.</w:t>
      </w:r>
    </w:p>
    <w:p w:rsidR="00A1617A" w:rsidRPr="00A1617A" w:rsidRDefault="00A1617A" w:rsidP="00E937A7">
      <w:pPr>
        <w:spacing w:after="160"/>
        <w:jc w:val="both"/>
        <w:rPr>
          <w:rFonts w:ascii="Times New Roman" w:hAnsi="Times New Roman" w:cs="Times New Roman"/>
          <w:sz w:val="20"/>
        </w:rPr>
      </w:pPr>
      <w:r w:rsidRPr="00A1617A">
        <w:rPr>
          <w:rFonts w:ascii="Times New Roman" w:hAnsi="Times New Roman" w:cs="Times New Roman"/>
          <w:sz w:val="20"/>
        </w:rPr>
        <w:t>A total of 163 youth completed the Screen for Child Anxiety Related Emotional Disorders (SCARED), a 41 item questionnaire assessing for separation anxiety, generalized anxiety, panic disorders, social anxiety and significant school avoidance.</w:t>
      </w:r>
    </w:p>
    <w:p w:rsidR="00A1617A" w:rsidRPr="00A1617A" w:rsidRDefault="00A1617A" w:rsidP="00E937A7">
      <w:pPr>
        <w:spacing w:after="160"/>
        <w:jc w:val="both"/>
        <w:rPr>
          <w:rFonts w:ascii="Times New Roman" w:hAnsi="Times New Roman" w:cs="Times New Roman"/>
          <w:sz w:val="20"/>
        </w:rPr>
      </w:pPr>
      <w:r w:rsidRPr="00A1617A">
        <w:rPr>
          <w:rFonts w:ascii="Times New Roman" w:hAnsi="Times New Roman" w:cs="Times New Roman"/>
          <w:sz w:val="20"/>
        </w:rPr>
        <w:t>The prevalence rates for the anxiety disorders were; separation anxiety; 78.5%, M=7.36, generalized anxiety; 35.6%, M=6.96, panic disorder; 72.4%, M=10.06, social anxiety; 83%, M=7.45 and signific</w:t>
      </w:r>
      <w:r w:rsidR="00E937A7">
        <w:rPr>
          <w:rFonts w:ascii="Times New Roman" w:hAnsi="Times New Roman" w:cs="Times New Roman"/>
          <w:sz w:val="20"/>
        </w:rPr>
        <w:t>ant school avoidance; 29.4%, M=</w:t>
      </w:r>
      <w:r w:rsidRPr="00A1617A">
        <w:rPr>
          <w:rFonts w:ascii="Times New Roman" w:hAnsi="Times New Roman" w:cs="Times New Roman"/>
          <w:sz w:val="20"/>
        </w:rPr>
        <w:t xml:space="preserve">1.85. The comorbidity rate was 80.4% (n=131) where 26.7% (n=35) were 8-10-year-olds, 27.5% (n=36) were 11-13-year-olds and 45.8% (n=60) were 14-16-year-olds. The mean number of comorbidities for the entire sample was 3.22 </w:t>
      </w:r>
      <w:r w:rsidR="00E937A7" w:rsidRPr="00A1617A">
        <w:rPr>
          <w:rFonts w:ascii="Times New Roman" w:hAnsi="Times New Roman" w:cs="Times New Roman"/>
          <w:sz w:val="20"/>
        </w:rPr>
        <w:t xml:space="preserve">Anxiety Disorders </w:t>
      </w:r>
      <w:r w:rsidRPr="00A1617A">
        <w:rPr>
          <w:rFonts w:ascii="Times New Roman" w:hAnsi="Times New Roman" w:cs="Times New Roman"/>
          <w:sz w:val="20"/>
        </w:rPr>
        <w:t>(ADs)</w:t>
      </w:r>
      <w:r w:rsidR="00E937A7">
        <w:rPr>
          <w:rFonts w:ascii="Times New Roman" w:hAnsi="Times New Roman" w:cs="Times New Roman"/>
          <w:sz w:val="20"/>
        </w:rPr>
        <w:t xml:space="preserve"> and per age group it was 3.57</w:t>
      </w:r>
      <w:proofErr w:type="gramStart"/>
      <w:r w:rsidR="00E937A7">
        <w:rPr>
          <w:rFonts w:ascii="Times New Roman" w:hAnsi="Times New Roman" w:cs="Times New Roman"/>
          <w:sz w:val="20"/>
        </w:rPr>
        <w:t>,</w:t>
      </w:r>
      <w:r w:rsidRPr="00A1617A">
        <w:rPr>
          <w:rFonts w:ascii="Times New Roman" w:hAnsi="Times New Roman" w:cs="Times New Roman"/>
          <w:sz w:val="20"/>
        </w:rPr>
        <w:t>3.25</w:t>
      </w:r>
      <w:proofErr w:type="gramEnd"/>
      <w:r w:rsidRPr="00A1617A">
        <w:rPr>
          <w:rFonts w:ascii="Times New Roman" w:hAnsi="Times New Roman" w:cs="Times New Roman"/>
          <w:sz w:val="20"/>
        </w:rPr>
        <w:t xml:space="preserve"> and 2.98 ADs for the 8-10, 11-13 and the 14-16 year-old respectively. Highest co</w:t>
      </w:r>
      <w:bookmarkStart w:id="0" w:name="_GoBack"/>
      <w:bookmarkEnd w:id="0"/>
      <w:r w:rsidRPr="00A1617A">
        <w:rPr>
          <w:rFonts w:ascii="Times New Roman" w:hAnsi="Times New Roman" w:cs="Times New Roman"/>
          <w:sz w:val="20"/>
        </w:rPr>
        <w:t>morbidities in the 2-disorders category were for separation/social anxiety (n=75, 46.0%) followed by generalized/separation anxiety (n=57, 34.9%). In the 3-disorders category, highest prevalence was for separation/generalized/social anxiety disorders (n=57, 34.9%) and panic disorder/separation/significant school avoidance (n= 40, 24.5%)</w:t>
      </w:r>
      <w:r w:rsidR="00E937A7">
        <w:rPr>
          <w:rFonts w:ascii="Times New Roman" w:hAnsi="Times New Roman" w:cs="Times New Roman"/>
          <w:sz w:val="20"/>
        </w:rPr>
        <w:t xml:space="preserve"> </w:t>
      </w:r>
      <w:proofErr w:type="gramStart"/>
      <w:r w:rsidR="00E937A7">
        <w:rPr>
          <w:rFonts w:ascii="Times New Roman" w:hAnsi="Times New Roman" w:cs="Times New Roman"/>
          <w:sz w:val="20"/>
        </w:rPr>
        <w:t>[Table 1]</w:t>
      </w:r>
      <w:r w:rsidRPr="00A1617A">
        <w:rPr>
          <w:rFonts w:ascii="Times New Roman" w:hAnsi="Times New Roman" w:cs="Times New Roman"/>
          <w:sz w:val="20"/>
        </w:rPr>
        <w:t>.</w:t>
      </w:r>
      <w:proofErr w:type="gramEnd"/>
    </w:p>
    <w:p w:rsidR="00A1617A" w:rsidRDefault="00A1617A" w:rsidP="00E937A7">
      <w:pPr>
        <w:spacing w:after="160"/>
        <w:jc w:val="both"/>
        <w:rPr>
          <w:rFonts w:ascii="Times New Roman" w:hAnsi="Times New Roman" w:cs="Times New Roman"/>
          <w:sz w:val="20"/>
        </w:rPr>
      </w:pPr>
      <w:r w:rsidRPr="00A1617A">
        <w:rPr>
          <w:rFonts w:ascii="Times New Roman" w:hAnsi="Times New Roman" w:cs="Times New Roman"/>
          <w:sz w:val="20"/>
        </w:rPr>
        <w:t xml:space="preserve">Some anxiety disorders dissipate from childhood to adolescence although with increased age, some new anxiety disorders may develop and some persist from childhood to adolescence. </w:t>
      </w:r>
      <w:proofErr w:type="spellStart"/>
      <w:r w:rsidRPr="00A1617A">
        <w:rPr>
          <w:rFonts w:ascii="Times New Roman" w:hAnsi="Times New Roman" w:cs="Times New Roman"/>
          <w:sz w:val="20"/>
        </w:rPr>
        <w:t>Homotypic</w:t>
      </w:r>
      <w:proofErr w:type="spellEnd"/>
      <w:r w:rsidRPr="00A1617A">
        <w:rPr>
          <w:rFonts w:ascii="Times New Roman" w:hAnsi="Times New Roman" w:cs="Times New Roman"/>
          <w:sz w:val="20"/>
        </w:rPr>
        <w:t xml:space="preserve"> comorbidity of anxiety disorders is thus high and assessments must investigate the co-occurring anxiety disorders for effective interventions.</w:t>
      </w:r>
    </w:p>
    <w:p w:rsidR="00A1617A" w:rsidRPr="00A1617A" w:rsidRDefault="00A1617A" w:rsidP="00E937A7">
      <w:pPr>
        <w:spacing w:after="160"/>
        <w:jc w:val="both"/>
        <w:rPr>
          <w:rFonts w:ascii="Times New Roman" w:hAnsi="Times New Roman" w:cs="Times New Roman"/>
          <w:b/>
          <w:sz w:val="20"/>
        </w:rPr>
      </w:pPr>
      <w:r w:rsidRPr="00A1617A">
        <w:rPr>
          <w:rFonts w:ascii="Times New Roman" w:hAnsi="Times New Roman" w:cs="Times New Roman"/>
          <w:b/>
          <w:sz w:val="20"/>
        </w:rPr>
        <w:t>Results:</w:t>
      </w:r>
    </w:p>
    <w:p w:rsidR="00A1617A" w:rsidRPr="00A1617A" w:rsidRDefault="00A1617A" w:rsidP="00E937A7">
      <w:pPr>
        <w:spacing w:after="160"/>
        <w:jc w:val="center"/>
        <w:rPr>
          <w:rFonts w:ascii="Times New Roman" w:hAnsi="Times New Roman" w:cs="Times New Roman"/>
          <w:i/>
          <w:sz w:val="18"/>
        </w:rPr>
      </w:pPr>
      <w:proofErr w:type="gramStart"/>
      <w:r w:rsidRPr="00A1617A">
        <w:rPr>
          <w:rFonts w:ascii="Times New Roman" w:hAnsi="Times New Roman" w:cs="Times New Roman"/>
          <w:b/>
          <w:i/>
          <w:sz w:val="18"/>
        </w:rPr>
        <w:t>Table 1.</w:t>
      </w:r>
      <w:proofErr w:type="gramEnd"/>
      <w:r w:rsidRPr="00A1617A">
        <w:rPr>
          <w:rFonts w:ascii="Times New Roman" w:hAnsi="Times New Roman" w:cs="Times New Roman"/>
          <w:i/>
          <w:sz w:val="18"/>
        </w:rPr>
        <w:t xml:space="preserve"> </w:t>
      </w:r>
      <w:proofErr w:type="spellStart"/>
      <w:proofErr w:type="gramStart"/>
      <w:r w:rsidRPr="00A1617A">
        <w:rPr>
          <w:rFonts w:ascii="Times New Roman" w:hAnsi="Times New Roman" w:cs="Times New Roman"/>
          <w:i/>
          <w:sz w:val="18"/>
        </w:rPr>
        <w:t>Homotypic</w:t>
      </w:r>
      <w:proofErr w:type="spellEnd"/>
      <w:r w:rsidRPr="00A1617A">
        <w:rPr>
          <w:rFonts w:ascii="Times New Roman" w:hAnsi="Times New Roman" w:cs="Times New Roman"/>
          <w:i/>
          <w:sz w:val="18"/>
        </w:rPr>
        <w:t xml:space="preserve"> comorbidity per age and gender.</w:t>
      </w:r>
      <w:proofErr w:type="gramEnd"/>
    </w:p>
    <w:p w:rsidR="00A1617A" w:rsidRDefault="00A1617A" w:rsidP="00E937A7">
      <w:pPr>
        <w:spacing w:after="160"/>
        <w:jc w:val="center"/>
        <w:rPr>
          <w:rFonts w:ascii="Times New Roman" w:hAnsi="Times New Roman" w:cs="Times New Roman"/>
          <w:sz w:val="20"/>
        </w:rPr>
      </w:pPr>
      <w:r>
        <w:rPr>
          <w:rFonts w:ascii="Times New Roman" w:hAnsi="Times New Roman" w:cs="Times New Roman"/>
          <w:noProof/>
          <w:sz w:val="20"/>
        </w:rPr>
        <w:drawing>
          <wp:inline distT="0" distB="0" distL="0" distR="0" wp14:anchorId="0D7D2052" wp14:editId="144D9EC4">
            <wp:extent cx="3108960" cy="993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8960" cy="993775"/>
                    </a:xfrm>
                    <a:prstGeom prst="rect">
                      <a:avLst/>
                    </a:prstGeom>
                    <a:noFill/>
                  </pic:spPr>
                </pic:pic>
              </a:graphicData>
            </a:graphic>
          </wp:inline>
        </w:drawing>
      </w:r>
    </w:p>
    <w:p w:rsidR="00E937A7" w:rsidRDefault="00E937A7" w:rsidP="00E937A7">
      <w:pPr>
        <w:spacing w:after="160"/>
        <w:rPr>
          <w:rFonts w:ascii="Times New Roman" w:hAnsi="Times New Roman" w:cs="Times New Roman"/>
          <w:b/>
          <w:sz w:val="24"/>
        </w:rPr>
      </w:pPr>
      <w:r w:rsidRPr="00E937A7">
        <w:rPr>
          <w:rFonts w:ascii="Times New Roman" w:hAnsi="Times New Roman" w:cs="Times New Roman"/>
          <w:b/>
          <w:sz w:val="24"/>
        </w:rPr>
        <w:t>Biography</w:t>
      </w:r>
    </w:p>
    <w:p w:rsidR="00A1617A" w:rsidRPr="00E937A7" w:rsidRDefault="00E937A7" w:rsidP="00E937A7">
      <w:pPr>
        <w:spacing w:after="160"/>
        <w:jc w:val="both"/>
        <w:rPr>
          <w:rFonts w:ascii="Times New Roman" w:hAnsi="Times New Roman" w:cs="Times New Roman"/>
          <w:sz w:val="16"/>
        </w:rPr>
      </w:pPr>
      <w:r w:rsidRPr="00E937A7">
        <w:rPr>
          <w:rFonts w:ascii="Times New Roman" w:hAnsi="Times New Roman" w:cs="Times New Roman"/>
          <w:sz w:val="20"/>
        </w:rPr>
        <w:t xml:space="preserve">Josephine </w:t>
      </w:r>
      <w:proofErr w:type="spellStart"/>
      <w:r w:rsidRPr="00E937A7">
        <w:rPr>
          <w:rFonts w:ascii="Times New Roman" w:hAnsi="Times New Roman" w:cs="Times New Roman"/>
          <w:sz w:val="20"/>
        </w:rPr>
        <w:t>Muchiri</w:t>
      </w:r>
      <w:proofErr w:type="spellEnd"/>
      <w:r w:rsidRPr="00E937A7">
        <w:rPr>
          <w:rFonts w:ascii="Times New Roman" w:hAnsi="Times New Roman" w:cs="Times New Roman"/>
          <w:sz w:val="20"/>
        </w:rPr>
        <w:t xml:space="preserve"> has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w:t>
      </w:r>
      <w:r w:rsidRPr="00E937A7">
        <w:rPr>
          <w:rFonts w:ascii="Times New Roman" w:hAnsi="Times New Roman" w:cs="Times New Roman"/>
          <w:sz w:val="20"/>
        </w:rPr>
        <w:lastRenderedPageBreak/>
        <w:t>attain their highest potential, by overcoming their current limitations. Josephine has a Bachelor’s degree in Education Science, a Masters’ degree in Guidance and counseling and her doctorate degree was in clinical psychology. She is currently engaged as a clinical psychologist at international Leadership University, teaching and counseling students.</w:t>
      </w:r>
    </w:p>
    <w:sectPr w:rsidR="00A1617A" w:rsidRPr="00E93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17A"/>
    <w:rsid w:val="00474203"/>
    <w:rsid w:val="00535872"/>
    <w:rsid w:val="00924B33"/>
    <w:rsid w:val="00A1617A"/>
    <w:rsid w:val="00D05B1B"/>
    <w:rsid w:val="00D27750"/>
    <w:rsid w:val="00E937A7"/>
    <w:rsid w:val="00E9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1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1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61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1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2022-10-03T06:30:00Z</dcterms:created>
  <dcterms:modified xsi:type="dcterms:W3CDTF">2022-10-03T08:01:00Z</dcterms:modified>
</cp:coreProperties>
</file>